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79847" w14:textId="77777777" w:rsidR="009C4385" w:rsidRPr="00D04B31" w:rsidRDefault="009C4385" w:rsidP="00D04B31">
      <w:pPr>
        <w:spacing w:before="259" w:line="288" w:lineRule="auto"/>
        <w:ind w:left="68" w:right="61"/>
        <w:jc w:val="center"/>
        <w:rPr>
          <w:b/>
          <w:sz w:val="28"/>
          <w:szCs w:val="28"/>
          <w:lang w:val="en-US"/>
        </w:rPr>
      </w:pPr>
      <w:r w:rsidRPr="00D04B31">
        <w:rPr>
          <w:b/>
          <w:sz w:val="28"/>
          <w:szCs w:val="28"/>
          <w:lang w:val="en-US"/>
        </w:rPr>
        <w:t xml:space="preserve">BAN THANH TRA TRÂN TRỌNG GIỚI THIỆU </w:t>
      </w:r>
    </w:p>
    <w:p w14:paraId="686CE118" w14:textId="5E506683" w:rsidR="00C56060" w:rsidRPr="00D04B31" w:rsidRDefault="00C56060" w:rsidP="00D04B31">
      <w:pPr>
        <w:pStyle w:val="Heading2"/>
        <w:spacing w:before="216" w:line="288" w:lineRule="auto"/>
        <w:ind w:left="245" w:right="0" w:firstLine="187"/>
        <w:jc w:val="center"/>
        <w:rPr>
          <w:b w:val="0"/>
          <w:sz w:val="28"/>
          <w:szCs w:val="28"/>
        </w:rPr>
      </w:pPr>
      <w:bookmarkStart w:id="0" w:name="_bookmark211"/>
      <w:bookmarkEnd w:id="0"/>
      <w:r w:rsidRPr="00D04B31">
        <w:rPr>
          <w:sz w:val="28"/>
          <w:szCs w:val="28"/>
        </w:rPr>
        <w:t>DANH MỤC CÁC VĂN BẢN HƯỚNG DẪN TRIỂN KHAI CÔNG TÁC BẦU CỬ ĐẠI BIỂU</w:t>
      </w:r>
      <w:r w:rsidR="009C4385" w:rsidRPr="00D04B31">
        <w:rPr>
          <w:sz w:val="28"/>
          <w:szCs w:val="28"/>
          <w:lang w:val="en-US"/>
        </w:rPr>
        <w:t xml:space="preserve"> </w:t>
      </w:r>
      <w:r w:rsidRPr="00D04B31">
        <w:rPr>
          <w:sz w:val="28"/>
          <w:szCs w:val="28"/>
        </w:rPr>
        <w:t>QUỐC HỘI KHÓA XVI VÀ ĐẠI BIỂU HỘI ĐỒNG NHÂN DÂN CÁC CẤP NHIỆM KỲ 2026 - 2031</w:t>
      </w:r>
    </w:p>
    <w:p w14:paraId="340454BA" w14:textId="77777777" w:rsidR="00C56060" w:rsidRPr="00D04B31" w:rsidRDefault="00C56060" w:rsidP="00D04B31">
      <w:pPr>
        <w:pStyle w:val="BodyText"/>
        <w:spacing w:before="56" w:after="1" w:line="288" w:lineRule="auto"/>
        <w:ind w:left="0" w:right="0" w:firstLine="0"/>
        <w:jc w:val="left"/>
        <w:rPr>
          <w:b/>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59"/>
        <w:gridCol w:w="8570"/>
      </w:tblGrid>
      <w:tr w:rsidR="00C56060" w:rsidRPr="00D04B31" w14:paraId="1EF1B0FA" w14:textId="77777777" w:rsidTr="00FC1FAE">
        <w:trPr>
          <w:trHeight w:val="290"/>
          <w:jc w:val="center"/>
        </w:trPr>
        <w:tc>
          <w:tcPr>
            <w:tcW w:w="550" w:type="pct"/>
          </w:tcPr>
          <w:p w14:paraId="253320DD" w14:textId="77777777" w:rsidR="00C56060" w:rsidRPr="00D04B31" w:rsidRDefault="00C56060" w:rsidP="00D04B31">
            <w:pPr>
              <w:pStyle w:val="TableParagraph"/>
              <w:spacing w:before="32" w:line="288" w:lineRule="auto"/>
              <w:ind w:right="6"/>
              <w:jc w:val="center"/>
              <w:rPr>
                <w:rFonts w:ascii="Times New Roman" w:hAnsi="Times New Roman" w:cs="Times New Roman"/>
                <w:b/>
                <w:sz w:val="28"/>
                <w:szCs w:val="28"/>
              </w:rPr>
            </w:pPr>
            <w:r w:rsidRPr="00D04B31">
              <w:rPr>
                <w:rFonts w:ascii="Times New Roman" w:hAnsi="Times New Roman" w:cs="Times New Roman"/>
                <w:b/>
                <w:sz w:val="28"/>
                <w:szCs w:val="28"/>
              </w:rPr>
              <w:t>STT</w:t>
            </w:r>
          </w:p>
        </w:tc>
        <w:tc>
          <w:tcPr>
            <w:tcW w:w="4450" w:type="pct"/>
          </w:tcPr>
          <w:p w14:paraId="35808817" w14:textId="77777777" w:rsidR="00C56060" w:rsidRPr="00D04B31" w:rsidRDefault="00C56060" w:rsidP="00D04B31">
            <w:pPr>
              <w:pStyle w:val="TableParagraph"/>
              <w:spacing w:before="32" w:line="288" w:lineRule="auto"/>
              <w:jc w:val="center"/>
              <w:rPr>
                <w:rFonts w:ascii="Times New Roman" w:hAnsi="Times New Roman" w:cs="Times New Roman"/>
                <w:b/>
                <w:sz w:val="28"/>
                <w:szCs w:val="28"/>
              </w:rPr>
            </w:pPr>
            <w:r w:rsidRPr="00D04B31">
              <w:rPr>
                <w:rFonts w:ascii="Times New Roman" w:hAnsi="Times New Roman" w:cs="Times New Roman"/>
                <w:b/>
                <w:sz w:val="28"/>
                <w:szCs w:val="28"/>
              </w:rPr>
              <w:t>Danh mục văn bản</w:t>
            </w:r>
          </w:p>
        </w:tc>
      </w:tr>
      <w:tr w:rsidR="00C56060" w:rsidRPr="00D04B31" w14:paraId="151157DC" w14:textId="77777777" w:rsidTr="00A2319F">
        <w:trPr>
          <w:trHeight w:val="503"/>
          <w:jc w:val="center"/>
        </w:trPr>
        <w:tc>
          <w:tcPr>
            <w:tcW w:w="550" w:type="pct"/>
            <w:vAlign w:val="center"/>
          </w:tcPr>
          <w:p w14:paraId="391F1966" w14:textId="77777777" w:rsidR="00C56060" w:rsidRPr="00D04B31" w:rsidRDefault="00C56060" w:rsidP="00D04B31">
            <w:pPr>
              <w:pStyle w:val="TableParagraph"/>
              <w:spacing w:before="148" w:line="288" w:lineRule="auto"/>
              <w:ind w:right="5"/>
              <w:jc w:val="center"/>
              <w:rPr>
                <w:rFonts w:ascii="Times New Roman" w:hAnsi="Times New Roman" w:cs="Times New Roman"/>
                <w:sz w:val="28"/>
                <w:szCs w:val="28"/>
              </w:rPr>
            </w:pPr>
            <w:r w:rsidRPr="00D04B31">
              <w:rPr>
                <w:rFonts w:ascii="Times New Roman" w:hAnsi="Times New Roman" w:cs="Times New Roman"/>
                <w:sz w:val="28"/>
                <w:szCs w:val="28"/>
              </w:rPr>
              <w:t>1</w:t>
            </w:r>
          </w:p>
        </w:tc>
        <w:tc>
          <w:tcPr>
            <w:tcW w:w="4450" w:type="pct"/>
          </w:tcPr>
          <w:p w14:paraId="791E28D4" w14:textId="77777777" w:rsidR="00C56060" w:rsidRPr="00D04B31" w:rsidRDefault="00C56060" w:rsidP="00D04B31">
            <w:pPr>
              <w:pStyle w:val="TableParagraph"/>
              <w:spacing w:before="42" w:line="288" w:lineRule="auto"/>
              <w:ind w:left="55"/>
              <w:rPr>
                <w:rFonts w:ascii="Times New Roman" w:hAnsi="Times New Roman" w:cs="Times New Roman"/>
                <w:sz w:val="28"/>
                <w:szCs w:val="28"/>
              </w:rPr>
            </w:pPr>
            <w:r w:rsidRPr="00D04B31">
              <w:rPr>
                <w:rFonts w:ascii="Times New Roman" w:hAnsi="Times New Roman" w:cs="Times New Roman"/>
                <w:sz w:val="28"/>
                <w:szCs w:val="28"/>
              </w:rPr>
              <w:t>Hiến pháp năm 2013 đã được sửa đổi, bổ sung một số điều theo Nghị quyết số 203/2025/QH15</w:t>
            </w:r>
          </w:p>
        </w:tc>
      </w:tr>
      <w:tr w:rsidR="00C56060" w:rsidRPr="00D04B31" w14:paraId="7D09A803" w14:textId="77777777" w:rsidTr="00A2319F">
        <w:trPr>
          <w:trHeight w:val="715"/>
          <w:jc w:val="center"/>
        </w:trPr>
        <w:tc>
          <w:tcPr>
            <w:tcW w:w="550" w:type="pct"/>
            <w:vAlign w:val="center"/>
          </w:tcPr>
          <w:p w14:paraId="06462231" w14:textId="77777777" w:rsidR="00C56060" w:rsidRPr="00D04B31" w:rsidRDefault="00C56060" w:rsidP="00D04B31">
            <w:pPr>
              <w:pStyle w:val="TableParagraph"/>
              <w:spacing w:line="288" w:lineRule="auto"/>
              <w:ind w:right="5"/>
              <w:jc w:val="center"/>
              <w:rPr>
                <w:rFonts w:ascii="Times New Roman" w:hAnsi="Times New Roman" w:cs="Times New Roman"/>
                <w:sz w:val="28"/>
                <w:szCs w:val="28"/>
              </w:rPr>
            </w:pPr>
            <w:r w:rsidRPr="00D04B31">
              <w:rPr>
                <w:rFonts w:ascii="Times New Roman" w:hAnsi="Times New Roman" w:cs="Times New Roman"/>
                <w:sz w:val="28"/>
                <w:szCs w:val="28"/>
              </w:rPr>
              <w:t>2</w:t>
            </w:r>
          </w:p>
        </w:tc>
        <w:tc>
          <w:tcPr>
            <w:tcW w:w="4450" w:type="pct"/>
          </w:tcPr>
          <w:p w14:paraId="4B9A6461" w14:textId="77777777" w:rsidR="00C56060" w:rsidRPr="00D04B31" w:rsidRDefault="00C56060" w:rsidP="00D04B31">
            <w:pPr>
              <w:pStyle w:val="TableParagraph"/>
              <w:spacing w:before="40" w:line="288" w:lineRule="auto"/>
              <w:ind w:left="55" w:right="54"/>
              <w:jc w:val="both"/>
              <w:rPr>
                <w:rFonts w:ascii="Times New Roman" w:hAnsi="Times New Roman" w:cs="Times New Roman"/>
                <w:sz w:val="28"/>
                <w:szCs w:val="28"/>
              </w:rPr>
            </w:pPr>
            <w:r w:rsidRPr="00D04B31">
              <w:rPr>
                <w:rFonts w:ascii="Times New Roman" w:hAnsi="Times New Roman" w:cs="Times New Roman"/>
                <w:sz w:val="28"/>
                <w:szCs w:val="28"/>
              </w:rPr>
              <w:t>Luật Bầu cử đại biểu Quốc hội và đại biểu Hội đồng nhân dân số 85/2015/QH13 đã được sửa đổi, bổ sung một số điều theo Luật số 83/2025/QH15</w:t>
            </w:r>
          </w:p>
        </w:tc>
      </w:tr>
      <w:tr w:rsidR="00C56060" w:rsidRPr="00D04B31" w14:paraId="246C029F" w14:textId="77777777" w:rsidTr="00A2319F">
        <w:trPr>
          <w:trHeight w:val="712"/>
          <w:jc w:val="center"/>
        </w:trPr>
        <w:tc>
          <w:tcPr>
            <w:tcW w:w="550" w:type="pct"/>
            <w:vAlign w:val="center"/>
          </w:tcPr>
          <w:p w14:paraId="1541EBA2" w14:textId="77777777" w:rsidR="00C56060" w:rsidRPr="00D04B31" w:rsidRDefault="00C56060" w:rsidP="00D04B31">
            <w:pPr>
              <w:pStyle w:val="TableParagraph"/>
              <w:spacing w:line="288" w:lineRule="auto"/>
              <w:ind w:right="5"/>
              <w:jc w:val="center"/>
              <w:rPr>
                <w:rFonts w:ascii="Times New Roman" w:hAnsi="Times New Roman" w:cs="Times New Roman"/>
                <w:sz w:val="28"/>
                <w:szCs w:val="28"/>
              </w:rPr>
            </w:pPr>
            <w:r w:rsidRPr="00D04B31">
              <w:rPr>
                <w:rFonts w:ascii="Times New Roman" w:hAnsi="Times New Roman" w:cs="Times New Roman"/>
                <w:sz w:val="28"/>
                <w:szCs w:val="28"/>
              </w:rPr>
              <w:t>3</w:t>
            </w:r>
          </w:p>
        </w:tc>
        <w:tc>
          <w:tcPr>
            <w:tcW w:w="4450" w:type="pct"/>
          </w:tcPr>
          <w:p w14:paraId="1CF9562F" w14:textId="77777777" w:rsidR="00C56060" w:rsidRPr="00D04B31" w:rsidRDefault="00C56060" w:rsidP="00D04B31">
            <w:pPr>
              <w:pStyle w:val="TableParagraph"/>
              <w:spacing w:before="40" w:line="288" w:lineRule="auto"/>
              <w:ind w:left="55" w:right="43"/>
              <w:jc w:val="both"/>
              <w:rPr>
                <w:rFonts w:ascii="Times New Roman" w:hAnsi="Times New Roman" w:cs="Times New Roman"/>
                <w:sz w:val="28"/>
                <w:szCs w:val="28"/>
              </w:rPr>
            </w:pPr>
            <w:r w:rsidRPr="00D04B31">
              <w:rPr>
                <w:rFonts w:ascii="Times New Roman" w:hAnsi="Times New Roman" w:cs="Times New Roman"/>
                <w:sz w:val="28"/>
                <w:szCs w:val="28"/>
              </w:rPr>
              <w:t>Luật Tổ chức Quốc hội số 57/2014/QH13 đã được sửa đổi, bổ sung một số điều theo Luật số 65/2020/QH14 và Luật số 62/2025/QH15</w:t>
            </w:r>
          </w:p>
        </w:tc>
      </w:tr>
      <w:tr w:rsidR="00C56060" w:rsidRPr="00D04B31" w14:paraId="38F3B2C7" w14:textId="77777777" w:rsidTr="00A2319F">
        <w:trPr>
          <w:trHeight w:val="292"/>
          <w:jc w:val="center"/>
        </w:trPr>
        <w:tc>
          <w:tcPr>
            <w:tcW w:w="550" w:type="pct"/>
            <w:vAlign w:val="center"/>
          </w:tcPr>
          <w:p w14:paraId="5EAD546B" w14:textId="77777777" w:rsidR="00C56060" w:rsidRPr="00D04B31" w:rsidRDefault="00C56060" w:rsidP="00D04B31">
            <w:pPr>
              <w:pStyle w:val="TableParagraph"/>
              <w:spacing w:before="40" w:line="288" w:lineRule="auto"/>
              <w:ind w:right="5"/>
              <w:jc w:val="center"/>
              <w:rPr>
                <w:rFonts w:ascii="Times New Roman" w:hAnsi="Times New Roman" w:cs="Times New Roman"/>
                <w:sz w:val="28"/>
                <w:szCs w:val="28"/>
              </w:rPr>
            </w:pPr>
            <w:r w:rsidRPr="00D04B31">
              <w:rPr>
                <w:rFonts w:ascii="Times New Roman" w:hAnsi="Times New Roman" w:cs="Times New Roman"/>
                <w:sz w:val="28"/>
                <w:szCs w:val="28"/>
              </w:rPr>
              <w:t>4</w:t>
            </w:r>
          </w:p>
        </w:tc>
        <w:tc>
          <w:tcPr>
            <w:tcW w:w="4450" w:type="pct"/>
          </w:tcPr>
          <w:p w14:paraId="3A8C71BA" w14:textId="77777777" w:rsidR="00C56060" w:rsidRPr="00D04B31" w:rsidRDefault="00C56060" w:rsidP="00D04B31">
            <w:pPr>
              <w:pStyle w:val="TableParagraph"/>
              <w:spacing w:before="40" w:line="288" w:lineRule="auto"/>
              <w:ind w:left="55"/>
              <w:rPr>
                <w:rFonts w:ascii="Times New Roman" w:hAnsi="Times New Roman" w:cs="Times New Roman"/>
                <w:sz w:val="28"/>
                <w:szCs w:val="28"/>
              </w:rPr>
            </w:pPr>
            <w:r w:rsidRPr="00D04B31">
              <w:rPr>
                <w:rFonts w:ascii="Times New Roman" w:hAnsi="Times New Roman" w:cs="Times New Roman"/>
                <w:sz w:val="28"/>
                <w:szCs w:val="28"/>
              </w:rPr>
              <w:t>Luật Tổ chức Chính phủ số 63/2025/QH15</w:t>
            </w:r>
          </w:p>
        </w:tc>
      </w:tr>
      <w:tr w:rsidR="00C56060" w:rsidRPr="00D04B31" w14:paraId="7A630E99" w14:textId="77777777" w:rsidTr="00A2319F">
        <w:trPr>
          <w:trHeight w:val="290"/>
          <w:jc w:val="center"/>
        </w:trPr>
        <w:tc>
          <w:tcPr>
            <w:tcW w:w="550" w:type="pct"/>
            <w:vAlign w:val="center"/>
          </w:tcPr>
          <w:p w14:paraId="781E5DB2" w14:textId="77777777" w:rsidR="00C56060" w:rsidRPr="00D04B31" w:rsidRDefault="00C56060" w:rsidP="00D04B31">
            <w:pPr>
              <w:pStyle w:val="TableParagraph"/>
              <w:spacing w:before="40" w:line="288" w:lineRule="auto"/>
              <w:ind w:right="5"/>
              <w:jc w:val="center"/>
              <w:rPr>
                <w:rFonts w:ascii="Times New Roman" w:hAnsi="Times New Roman" w:cs="Times New Roman"/>
                <w:sz w:val="28"/>
                <w:szCs w:val="28"/>
              </w:rPr>
            </w:pPr>
            <w:r w:rsidRPr="00D04B31">
              <w:rPr>
                <w:rFonts w:ascii="Times New Roman" w:hAnsi="Times New Roman" w:cs="Times New Roman"/>
                <w:sz w:val="28"/>
                <w:szCs w:val="28"/>
              </w:rPr>
              <w:t>5</w:t>
            </w:r>
          </w:p>
        </w:tc>
        <w:tc>
          <w:tcPr>
            <w:tcW w:w="4450" w:type="pct"/>
          </w:tcPr>
          <w:p w14:paraId="3FFD7AF6" w14:textId="77777777" w:rsidR="00C56060" w:rsidRPr="00D04B31" w:rsidRDefault="00C56060" w:rsidP="00D04B31">
            <w:pPr>
              <w:pStyle w:val="TableParagraph"/>
              <w:spacing w:before="40" w:line="288" w:lineRule="auto"/>
              <w:ind w:left="55"/>
              <w:rPr>
                <w:rFonts w:ascii="Times New Roman" w:hAnsi="Times New Roman" w:cs="Times New Roman"/>
                <w:sz w:val="28"/>
                <w:szCs w:val="28"/>
              </w:rPr>
            </w:pPr>
            <w:r w:rsidRPr="00D04B31">
              <w:rPr>
                <w:rFonts w:ascii="Times New Roman" w:hAnsi="Times New Roman" w:cs="Times New Roman"/>
                <w:sz w:val="28"/>
                <w:szCs w:val="28"/>
              </w:rPr>
              <w:t>Luật Tổ chức chính quyền địa phương số 72/2025/QH15</w:t>
            </w:r>
          </w:p>
        </w:tc>
      </w:tr>
      <w:tr w:rsidR="00C56060" w:rsidRPr="00D04B31" w14:paraId="56CC8C77" w14:textId="77777777" w:rsidTr="00A2319F">
        <w:trPr>
          <w:trHeight w:val="715"/>
          <w:jc w:val="center"/>
        </w:trPr>
        <w:tc>
          <w:tcPr>
            <w:tcW w:w="550" w:type="pct"/>
            <w:vAlign w:val="center"/>
          </w:tcPr>
          <w:p w14:paraId="76BBB0C3" w14:textId="77777777" w:rsidR="00C56060" w:rsidRPr="00D04B31" w:rsidRDefault="00C56060" w:rsidP="00D04B31">
            <w:pPr>
              <w:pStyle w:val="TableParagraph"/>
              <w:spacing w:line="288" w:lineRule="auto"/>
              <w:ind w:right="5"/>
              <w:jc w:val="center"/>
              <w:rPr>
                <w:rFonts w:ascii="Times New Roman" w:hAnsi="Times New Roman" w:cs="Times New Roman"/>
                <w:sz w:val="28"/>
                <w:szCs w:val="28"/>
              </w:rPr>
            </w:pPr>
            <w:r w:rsidRPr="00D04B31">
              <w:rPr>
                <w:rFonts w:ascii="Times New Roman" w:hAnsi="Times New Roman" w:cs="Times New Roman"/>
                <w:sz w:val="28"/>
                <w:szCs w:val="28"/>
              </w:rPr>
              <w:t>6</w:t>
            </w:r>
          </w:p>
        </w:tc>
        <w:tc>
          <w:tcPr>
            <w:tcW w:w="4450" w:type="pct"/>
          </w:tcPr>
          <w:p w14:paraId="19791FFB" w14:textId="77777777" w:rsidR="00C56060" w:rsidRPr="00D04B31" w:rsidRDefault="00C56060" w:rsidP="00D04B31">
            <w:pPr>
              <w:pStyle w:val="TableParagraph"/>
              <w:spacing w:before="40" w:line="288" w:lineRule="auto"/>
              <w:ind w:left="55" w:right="46"/>
              <w:jc w:val="both"/>
              <w:rPr>
                <w:rFonts w:ascii="Times New Roman" w:hAnsi="Times New Roman" w:cs="Times New Roman"/>
                <w:sz w:val="28"/>
                <w:szCs w:val="28"/>
              </w:rPr>
            </w:pPr>
            <w:r w:rsidRPr="00D04B31">
              <w:rPr>
                <w:rFonts w:ascii="Times New Roman" w:hAnsi="Times New Roman" w:cs="Times New Roman"/>
                <w:sz w:val="28"/>
                <w:szCs w:val="28"/>
              </w:rPr>
              <w:t>Chỉ thị số 46-CT/TW ngày 16/5/2025 của Bộ Chính trị về lãnh đạo cuộc bầu cử đại biểu Quốc hội khóa XVI và bầu cử đại biểu Hội đồng nhân dân các cấp nhiệm kỳ 2026 - 2031</w:t>
            </w:r>
          </w:p>
        </w:tc>
      </w:tr>
      <w:tr w:rsidR="00C56060" w:rsidRPr="00D04B31" w14:paraId="16DD949E" w14:textId="77777777" w:rsidTr="00A2319F">
        <w:trPr>
          <w:trHeight w:val="1137"/>
          <w:jc w:val="center"/>
        </w:trPr>
        <w:tc>
          <w:tcPr>
            <w:tcW w:w="550" w:type="pct"/>
            <w:vAlign w:val="center"/>
          </w:tcPr>
          <w:p w14:paraId="3F351270" w14:textId="77777777" w:rsidR="00C56060" w:rsidRPr="00D04B31" w:rsidRDefault="00C56060" w:rsidP="00D04B31">
            <w:pPr>
              <w:pStyle w:val="TableParagraph"/>
              <w:spacing w:line="288" w:lineRule="auto"/>
              <w:ind w:right="5"/>
              <w:jc w:val="center"/>
              <w:rPr>
                <w:rFonts w:ascii="Times New Roman" w:hAnsi="Times New Roman" w:cs="Times New Roman"/>
                <w:sz w:val="28"/>
                <w:szCs w:val="28"/>
              </w:rPr>
            </w:pPr>
            <w:r w:rsidRPr="00D04B31">
              <w:rPr>
                <w:rFonts w:ascii="Times New Roman" w:hAnsi="Times New Roman" w:cs="Times New Roman"/>
                <w:sz w:val="28"/>
                <w:szCs w:val="28"/>
              </w:rPr>
              <w:t>7</w:t>
            </w:r>
          </w:p>
        </w:tc>
        <w:tc>
          <w:tcPr>
            <w:tcW w:w="4450" w:type="pct"/>
          </w:tcPr>
          <w:p w14:paraId="721125A1" w14:textId="77777777" w:rsidR="00C56060" w:rsidRPr="00D04B31" w:rsidRDefault="00C56060" w:rsidP="00D04B31">
            <w:pPr>
              <w:pStyle w:val="TableParagraph"/>
              <w:spacing w:before="40" w:line="288" w:lineRule="auto"/>
              <w:ind w:left="55" w:right="43"/>
              <w:jc w:val="both"/>
              <w:rPr>
                <w:rFonts w:ascii="Times New Roman" w:hAnsi="Times New Roman" w:cs="Times New Roman"/>
                <w:sz w:val="28"/>
                <w:szCs w:val="28"/>
                <w:lang w:val="en-US"/>
              </w:rPr>
            </w:pPr>
            <w:r w:rsidRPr="00D04B31">
              <w:rPr>
                <w:rFonts w:ascii="Times New Roman" w:hAnsi="Times New Roman" w:cs="Times New Roman"/>
                <w:sz w:val="28"/>
                <w:szCs w:val="28"/>
              </w:rPr>
              <w:t>Nghị quyết số 199/2025/QH15 ngày 21/5/2025 của Quốc hội về việc rút ngắn nhiệm kỳ Quốc hội khóa XV và Hội đồng nhân dân các cấp nhiệm kỳ 2021-2026; ngày bầu cử đại biểu Quốc hội khóa XVI và đại biểu Hội đồng nhân dân các cấp nhiệm kỳ 2026 - 2031</w:t>
            </w:r>
          </w:p>
        </w:tc>
      </w:tr>
      <w:tr w:rsidR="00C56060" w:rsidRPr="00D04B31" w14:paraId="206367C0" w14:textId="77777777" w:rsidTr="00A2319F">
        <w:trPr>
          <w:trHeight w:val="501"/>
          <w:jc w:val="center"/>
        </w:trPr>
        <w:tc>
          <w:tcPr>
            <w:tcW w:w="550" w:type="pct"/>
            <w:vAlign w:val="center"/>
          </w:tcPr>
          <w:p w14:paraId="4D9B2014" w14:textId="77777777" w:rsidR="00C56060" w:rsidRPr="00D04B31" w:rsidRDefault="00C56060" w:rsidP="00D04B31">
            <w:pPr>
              <w:pStyle w:val="TableParagraph"/>
              <w:spacing w:before="146" w:line="288" w:lineRule="auto"/>
              <w:ind w:right="5"/>
              <w:jc w:val="center"/>
              <w:rPr>
                <w:rFonts w:ascii="Times New Roman" w:hAnsi="Times New Roman" w:cs="Times New Roman"/>
                <w:sz w:val="28"/>
                <w:szCs w:val="28"/>
              </w:rPr>
            </w:pPr>
            <w:r w:rsidRPr="00D04B31">
              <w:rPr>
                <w:rFonts w:ascii="Times New Roman" w:hAnsi="Times New Roman" w:cs="Times New Roman"/>
                <w:sz w:val="28"/>
                <w:szCs w:val="28"/>
              </w:rPr>
              <w:t>8</w:t>
            </w:r>
          </w:p>
        </w:tc>
        <w:tc>
          <w:tcPr>
            <w:tcW w:w="4450" w:type="pct"/>
          </w:tcPr>
          <w:p w14:paraId="532A7F53" w14:textId="77777777" w:rsidR="00C56060" w:rsidRPr="00D04B31" w:rsidRDefault="00C56060" w:rsidP="00D04B31">
            <w:pPr>
              <w:pStyle w:val="TableParagraph"/>
              <w:spacing w:before="40" w:line="288" w:lineRule="auto"/>
              <w:ind w:left="55" w:right="2"/>
              <w:rPr>
                <w:rFonts w:ascii="Times New Roman" w:hAnsi="Times New Roman" w:cs="Times New Roman"/>
                <w:sz w:val="28"/>
                <w:szCs w:val="28"/>
              </w:rPr>
            </w:pPr>
            <w:r w:rsidRPr="00D04B31">
              <w:rPr>
                <w:rFonts w:ascii="Times New Roman" w:hAnsi="Times New Roman" w:cs="Times New Roman"/>
                <w:sz w:val="28"/>
                <w:szCs w:val="28"/>
              </w:rPr>
              <w:t>Nghị quyết số 211/2025/QH15 ngày 25/6/2025 của Quốc hội về việc thành lập Hội đồng bầu cử quốc gia</w:t>
            </w:r>
          </w:p>
        </w:tc>
      </w:tr>
      <w:tr w:rsidR="00C56060" w:rsidRPr="00D04B31" w14:paraId="3B552AA9" w14:textId="77777777" w:rsidTr="00A2319F">
        <w:tblPrEx>
          <w:jc w:val="left"/>
        </w:tblPrEx>
        <w:trPr>
          <w:trHeight w:val="714"/>
        </w:trPr>
        <w:tc>
          <w:tcPr>
            <w:tcW w:w="550" w:type="pct"/>
            <w:vAlign w:val="center"/>
          </w:tcPr>
          <w:p w14:paraId="45B7A184" w14:textId="77777777" w:rsidR="00C56060" w:rsidRPr="00D04B31" w:rsidRDefault="00C56060" w:rsidP="00D04B31">
            <w:pPr>
              <w:pStyle w:val="TableParagraph"/>
              <w:spacing w:line="288" w:lineRule="auto"/>
              <w:ind w:right="5"/>
              <w:jc w:val="center"/>
              <w:rPr>
                <w:rFonts w:ascii="Times New Roman" w:hAnsi="Times New Roman" w:cs="Times New Roman"/>
                <w:sz w:val="28"/>
                <w:szCs w:val="28"/>
              </w:rPr>
            </w:pPr>
            <w:r w:rsidRPr="00D04B31">
              <w:rPr>
                <w:rFonts w:ascii="Times New Roman" w:hAnsi="Times New Roman" w:cs="Times New Roman"/>
                <w:sz w:val="28"/>
                <w:szCs w:val="28"/>
              </w:rPr>
              <w:t>9</w:t>
            </w:r>
          </w:p>
        </w:tc>
        <w:tc>
          <w:tcPr>
            <w:tcW w:w="4450" w:type="pct"/>
          </w:tcPr>
          <w:p w14:paraId="30BC1A99" w14:textId="77777777" w:rsidR="00C56060" w:rsidRPr="00D04B31" w:rsidRDefault="00C56060" w:rsidP="00D04B31">
            <w:pPr>
              <w:pStyle w:val="TableParagraph"/>
              <w:spacing w:before="40" w:line="288" w:lineRule="auto"/>
              <w:ind w:left="55" w:right="44"/>
              <w:jc w:val="both"/>
              <w:rPr>
                <w:rFonts w:ascii="Times New Roman" w:hAnsi="Times New Roman" w:cs="Times New Roman"/>
                <w:sz w:val="28"/>
                <w:szCs w:val="28"/>
              </w:rPr>
            </w:pPr>
            <w:r w:rsidRPr="00D04B31">
              <w:rPr>
                <w:rFonts w:ascii="Times New Roman" w:hAnsi="Times New Roman" w:cs="Times New Roman"/>
                <w:sz w:val="28"/>
                <w:szCs w:val="28"/>
              </w:rPr>
              <w:t>Chỉ thị số 28/CT-TTg ngày 18/9/2025 của Thủ tướng Chính phủ về tổ chức cuộc bầu cử đại biểu Quốc hội khóa XVI và đại biểu Hội đồng nhân dân các cấp nhiệm kỳ 2026 - 2031</w:t>
            </w:r>
          </w:p>
        </w:tc>
      </w:tr>
      <w:tr w:rsidR="00C56060" w:rsidRPr="00D04B31" w14:paraId="44BCE841" w14:textId="77777777" w:rsidTr="00A2319F">
        <w:tblPrEx>
          <w:jc w:val="left"/>
        </w:tblPrEx>
        <w:trPr>
          <w:trHeight w:val="712"/>
        </w:trPr>
        <w:tc>
          <w:tcPr>
            <w:tcW w:w="550" w:type="pct"/>
            <w:vAlign w:val="center"/>
          </w:tcPr>
          <w:p w14:paraId="6E87E235" w14:textId="77777777" w:rsidR="00C56060" w:rsidRPr="00D04B31" w:rsidRDefault="00C56060" w:rsidP="00D04B31">
            <w:pPr>
              <w:pStyle w:val="TableParagraph"/>
              <w:spacing w:line="288" w:lineRule="auto"/>
              <w:jc w:val="center"/>
              <w:rPr>
                <w:rFonts w:ascii="Times New Roman" w:hAnsi="Times New Roman" w:cs="Times New Roman"/>
                <w:sz w:val="28"/>
                <w:szCs w:val="28"/>
              </w:rPr>
            </w:pPr>
            <w:r w:rsidRPr="00D04B31">
              <w:rPr>
                <w:rFonts w:ascii="Times New Roman" w:hAnsi="Times New Roman" w:cs="Times New Roman"/>
                <w:sz w:val="28"/>
                <w:szCs w:val="28"/>
              </w:rPr>
              <w:t>10</w:t>
            </w:r>
          </w:p>
        </w:tc>
        <w:tc>
          <w:tcPr>
            <w:tcW w:w="4450" w:type="pct"/>
          </w:tcPr>
          <w:p w14:paraId="6DFE02C3" w14:textId="77777777" w:rsidR="00C56060" w:rsidRPr="00D04B31" w:rsidRDefault="00C56060" w:rsidP="00D04B31">
            <w:pPr>
              <w:pStyle w:val="TableParagraph"/>
              <w:spacing w:before="40" w:line="288" w:lineRule="auto"/>
              <w:ind w:left="55" w:right="44"/>
              <w:jc w:val="both"/>
              <w:rPr>
                <w:rFonts w:ascii="Times New Roman" w:hAnsi="Times New Roman" w:cs="Times New Roman"/>
                <w:spacing w:val="-4"/>
                <w:sz w:val="28"/>
                <w:szCs w:val="28"/>
              </w:rPr>
            </w:pPr>
            <w:r w:rsidRPr="00D04B31">
              <w:rPr>
                <w:rFonts w:ascii="Times New Roman" w:hAnsi="Times New Roman" w:cs="Times New Roman"/>
                <w:spacing w:val="-4"/>
                <w:sz w:val="28"/>
                <w:szCs w:val="28"/>
              </w:rPr>
              <w:t>Nghị quyết số 1891/NQ-UBTVQH15 ngày 10/11/2025 của Ủy ban Thường vụ Quốc hội về dự kiến số lượng, cơ cấu, thành phần đại biểu Quốc hội khóa XVI</w:t>
            </w:r>
          </w:p>
        </w:tc>
      </w:tr>
      <w:tr w:rsidR="00C56060" w:rsidRPr="00D04B31" w14:paraId="0C5A3F09" w14:textId="77777777" w:rsidTr="00D04B31">
        <w:tblPrEx>
          <w:jc w:val="left"/>
        </w:tblPrEx>
        <w:trPr>
          <w:trHeight w:val="698"/>
        </w:trPr>
        <w:tc>
          <w:tcPr>
            <w:tcW w:w="550" w:type="pct"/>
            <w:vAlign w:val="center"/>
          </w:tcPr>
          <w:p w14:paraId="3528DF82" w14:textId="2DB679DE" w:rsidR="00C56060" w:rsidRPr="00D04B31" w:rsidRDefault="00C56060" w:rsidP="00D04B31">
            <w:pPr>
              <w:pStyle w:val="TableParagraph"/>
              <w:spacing w:before="1" w:line="288" w:lineRule="auto"/>
              <w:jc w:val="center"/>
              <w:rPr>
                <w:rFonts w:ascii="Times New Roman" w:hAnsi="Times New Roman" w:cs="Times New Roman"/>
                <w:sz w:val="28"/>
                <w:szCs w:val="28"/>
              </w:rPr>
            </w:pPr>
            <w:r w:rsidRPr="00D04B31">
              <w:rPr>
                <w:rFonts w:ascii="Times New Roman" w:hAnsi="Times New Roman" w:cs="Times New Roman"/>
                <w:sz w:val="28"/>
                <w:szCs w:val="28"/>
              </w:rPr>
              <w:t>11</w:t>
            </w:r>
          </w:p>
        </w:tc>
        <w:tc>
          <w:tcPr>
            <w:tcW w:w="4450" w:type="pct"/>
          </w:tcPr>
          <w:p w14:paraId="7C1352BE" w14:textId="77777777" w:rsidR="00C56060" w:rsidRPr="00D04B31" w:rsidRDefault="00C56060" w:rsidP="00D04B31">
            <w:pPr>
              <w:pStyle w:val="TableParagraph"/>
              <w:spacing w:before="40" w:line="288" w:lineRule="auto"/>
              <w:ind w:left="55" w:right="43"/>
              <w:jc w:val="both"/>
              <w:rPr>
                <w:rFonts w:ascii="Times New Roman" w:hAnsi="Times New Roman" w:cs="Times New Roman"/>
                <w:sz w:val="28"/>
                <w:szCs w:val="28"/>
              </w:rPr>
            </w:pPr>
            <w:r w:rsidRPr="00D04B31">
              <w:rPr>
                <w:rFonts w:ascii="Times New Roman" w:hAnsi="Times New Roman" w:cs="Times New Roman"/>
                <w:sz w:val="28"/>
                <w:szCs w:val="28"/>
              </w:rPr>
              <w:t>Nghị quyết số 1897/NQ-UBTVQH15 ngày 18/11/2025 của Ủy ban Thường vụ Quốc hội dự kiến số lượng người của tổ chức chính trị, tổ chức chính trị - xã hội, tổ chức xã hội, lực lượng vũ trang nhân dân, cơ quan nhà nước ở trung ương và địa phương được giới thiệu ứng cử đại biểu Quốc hội khóa XVI.</w:t>
            </w:r>
          </w:p>
        </w:tc>
      </w:tr>
      <w:tr w:rsidR="00C56060" w:rsidRPr="00D04B31" w14:paraId="0E85D23E" w14:textId="77777777" w:rsidTr="00A2319F">
        <w:tblPrEx>
          <w:jc w:val="left"/>
        </w:tblPrEx>
        <w:trPr>
          <w:trHeight w:val="1137"/>
        </w:trPr>
        <w:tc>
          <w:tcPr>
            <w:tcW w:w="550" w:type="pct"/>
            <w:vAlign w:val="center"/>
          </w:tcPr>
          <w:p w14:paraId="6ED8BA6B" w14:textId="616166BD" w:rsidR="00C56060" w:rsidRPr="00D04B31" w:rsidRDefault="00C56060" w:rsidP="00D04B31">
            <w:pPr>
              <w:pStyle w:val="TableParagraph"/>
              <w:spacing w:line="288" w:lineRule="auto"/>
              <w:jc w:val="center"/>
              <w:rPr>
                <w:rFonts w:ascii="Times New Roman" w:hAnsi="Times New Roman" w:cs="Times New Roman"/>
                <w:sz w:val="28"/>
                <w:szCs w:val="28"/>
              </w:rPr>
            </w:pPr>
            <w:r w:rsidRPr="00D04B31">
              <w:rPr>
                <w:rFonts w:ascii="Times New Roman" w:hAnsi="Times New Roman" w:cs="Times New Roman"/>
                <w:sz w:val="28"/>
                <w:szCs w:val="28"/>
              </w:rPr>
              <w:lastRenderedPageBreak/>
              <w:t>12</w:t>
            </w:r>
          </w:p>
        </w:tc>
        <w:tc>
          <w:tcPr>
            <w:tcW w:w="4450" w:type="pct"/>
          </w:tcPr>
          <w:p w14:paraId="0B747A55" w14:textId="77777777" w:rsidR="00C56060" w:rsidRPr="00D04B31" w:rsidRDefault="00C56060" w:rsidP="00D04B31">
            <w:pPr>
              <w:pStyle w:val="TableParagraph"/>
              <w:spacing w:before="40" w:line="288" w:lineRule="auto"/>
              <w:ind w:left="55" w:right="43"/>
              <w:jc w:val="both"/>
              <w:rPr>
                <w:rFonts w:ascii="Times New Roman" w:hAnsi="Times New Roman" w:cs="Times New Roman"/>
                <w:sz w:val="28"/>
                <w:szCs w:val="28"/>
              </w:rPr>
            </w:pPr>
            <w:r w:rsidRPr="00D04B31">
              <w:rPr>
                <w:rFonts w:ascii="Times New Roman" w:hAnsi="Times New Roman" w:cs="Times New Roman"/>
                <w:sz w:val="28"/>
                <w:szCs w:val="28"/>
              </w:rPr>
              <w:t>Nghị quyết số 106/2025/UBTVQH15 ngày 16/10/2025 của Ủy ban Thường vụ Quốc hội quy định số lượng Phó Chủ tịch Hội đồng nhân dân, Phó Trưởng Ban của Hội đồng nhân dân cấp tỉnh, cấp xã và việc bố trí đại biểu Hội đồng nhân dân cấp tỉnh, cấp xã hoạt động chuyên trách</w:t>
            </w:r>
          </w:p>
        </w:tc>
      </w:tr>
      <w:tr w:rsidR="00C56060" w:rsidRPr="00D04B31" w14:paraId="33751F6B" w14:textId="77777777" w:rsidTr="00A2319F">
        <w:tblPrEx>
          <w:jc w:val="left"/>
        </w:tblPrEx>
        <w:trPr>
          <w:trHeight w:val="1135"/>
        </w:trPr>
        <w:tc>
          <w:tcPr>
            <w:tcW w:w="550" w:type="pct"/>
            <w:vAlign w:val="center"/>
          </w:tcPr>
          <w:p w14:paraId="4ED48A5D" w14:textId="77777777" w:rsidR="00C56060" w:rsidRPr="00D04B31" w:rsidRDefault="00C56060" w:rsidP="00D04B31">
            <w:pPr>
              <w:pStyle w:val="TableParagraph"/>
              <w:spacing w:line="288" w:lineRule="auto"/>
              <w:jc w:val="center"/>
              <w:rPr>
                <w:rFonts w:ascii="Times New Roman" w:hAnsi="Times New Roman" w:cs="Times New Roman"/>
                <w:sz w:val="28"/>
                <w:szCs w:val="28"/>
              </w:rPr>
            </w:pPr>
            <w:r w:rsidRPr="00D04B31">
              <w:rPr>
                <w:rFonts w:ascii="Times New Roman" w:hAnsi="Times New Roman" w:cs="Times New Roman"/>
                <w:sz w:val="28"/>
                <w:szCs w:val="28"/>
              </w:rPr>
              <w:t>13</w:t>
            </w:r>
          </w:p>
        </w:tc>
        <w:tc>
          <w:tcPr>
            <w:tcW w:w="4450" w:type="pct"/>
          </w:tcPr>
          <w:p w14:paraId="4ACCF238" w14:textId="77777777" w:rsidR="00C56060" w:rsidRPr="00D04B31" w:rsidRDefault="00C56060" w:rsidP="00D04B31">
            <w:pPr>
              <w:pStyle w:val="TableParagraph"/>
              <w:spacing w:before="40" w:line="288" w:lineRule="auto"/>
              <w:ind w:left="55" w:right="44"/>
              <w:jc w:val="both"/>
              <w:rPr>
                <w:rFonts w:ascii="Times New Roman" w:hAnsi="Times New Roman" w:cs="Times New Roman"/>
                <w:sz w:val="28"/>
                <w:szCs w:val="28"/>
              </w:rPr>
            </w:pPr>
            <w:r w:rsidRPr="00D04B31">
              <w:rPr>
                <w:rFonts w:ascii="Times New Roman" w:hAnsi="Times New Roman" w:cs="Times New Roman"/>
                <w:sz w:val="28"/>
                <w:szCs w:val="28"/>
              </w:rPr>
              <w:t>Nghị quyết số 107/2025/UBTVQH15 ngày 16/10/2025 của Ủy ban Thường vụ Quốc hội hướng dẫn việc xác định dự kiến cơ cấu, thành phần và phân bổ số lượng người được giới thiệu ứng cử đại biểu Hội đồng nhân dân các cấp nhiệm kỳ 2026 - 2031</w:t>
            </w:r>
          </w:p>
        </w:tc>
      </w:tr>
      <w:tr w:rsidR="00C56060" w:rsidRPr="00D04B31" w14:paraId="328A1877" w14:textId="77777777" w:rsidTr="00A2319F">
        <w:tblPrEx>
          <w:jc w:val="left"/>
        </w:tblPrEx>
        <w:trPr>
          <w:trHeight w:val="1348"/>
        </w:trPr>
        <w:tc>
          <w:tcPr>
            <w:tcW w:w="550" w:type="pct"/>
            <w:vAlign w:val="center"/>
          </w:tcPr>
          <w:p w14:paraId="2FB814CC" w14:textId="77777777" w:rsidR="00C56060" w:rsidRPr="00D04B31" w:rsidRDefault="00C56060" w:rsidP="00D04B31">
            <w:pPr>
              <w:pStyle w:val="TableParagraph"/>
              <w:spacing w:line="288" w:lineRule="auto"/>
              <w:jc w:val="center"/>
              <w:rPr>
                <w:rFonts w:ascii="Times New Roman" w:hAnsi="Times New Roman" w:cs="Times New Roman"/>
                <w:sz w:val="28"/>
                <w:szCs w:val="28"/>
              </w:rPr>
            </w:pPr>
            <w:r w:rsidRPr="00D04B31">
              <w:rPr>
                <w:rFonts w:ascii="Times New Roman" w:hAnsi="Times New Roman" w:cs="Times New Roman"/>
                <w:sz w:val="28"/>
                <w:szCs w:val="28"/>
              </w:rPr>
              <w:t>14</w:t>
            </w:r>
          </w:p>
        </w:tc>
        <w:tc>
          <w:tcPr>
            <w:tcW w:w="4450" w:type="pct"/>
          </w:tcPr>
          <w:p w14:paraId="440297E6" w14:textId="77777777" w:rsidR="00C56060" w:rsidRPr="00D04B31" w:rsidRDefault="00C56060" w:rsidP="00D04B31">
            <w:pPr>
              <w:pStyle w:val="TableParagraph"/>
              <w:spacing w:before="40" w:line="288" w:lineRule="auto"/>
              <w:ind w:left="55" w:right="45"/>
              <w:jc w:val="both"/>
              <w:rPr>
                <w:rFonts w:ascii="Times New Roman" w:hAnsi="Times New Roman" w:cs="Times New Roman"/>
                <w:sz w:val="28"/>
                <w:szCs w:val="28"/>
              </w:rPr>
            </w:pPr>
            <w:r w:rsidRPr="00D04B31">
              <w:rPr>
                <w:rFonts w:ascii="Times New Roman" w:hAnsi="Times New Roman" w:cs="Times New Roman"/>
                <w:sz w:val="28"/>
                <w:szCs w:val="28"/>
              </w:rPr>
              <w:t>Nghị quyết liên tịch số 102/2025/NQLT-UBTVQH15-CP- ĐCTUBTW MTTQVN ngày 26/9/2025 của Ủy ban Thường vụ Quốc hội, Chính phủ và Đoàn Chủ tịch Ủy ban Trung ương Mặt trận Tổ quốc Việt Nam hướng dẫn quy trình hiệp thương, giới thiệu người ứng cử đại biểu Quốc hội khóa XVI, đại biểu Hội đồng nhân dân các cấp nhiệm kỳ 2026 - 2031</w:t>
            </w:r>
          </w:p>
        </w:tc>
      </w:tr>
      <w:tr w:rsidR="00C56060" w:rsidRPr="00D04B31" w14:paraId="0B99153B" w14:textId="77777777" w:rsidTr="00A2319F">
        <w:tblPrEx>
          <w:jc w:val="left"/>
        </w:tblPrEx>
        <w:trPr>
          <w:trHeight w:val="1559"/>
        </w:trPr>
        <w:tc>
          <w:tcPr>
            <w:tcW w:w="550" w:type="pct"/>
            <w:vAlign w:val="center"/>
          </w:tcPr>
          <w:p w14:paraId="4F0247DF" w14:textId="77777777" w:rsidR="00C56060" w:rsidRPr="00D04B31" w:rsidRDefault="00C56060" w:rsidP="00D04B31">
            <w:pPr>
              <w:pStyle w:val="TableParagraph"/>
              <w:spacing w:before="1" w:line="288" w:lineRule="auto"/>
              <w:jc w:val="center"/>
              <w:rPr>
                <w:rFonts w:ascii="Times New Roman" w:hAnsi="Times New Roman" w:cs="Times New Roman"/>
                <w:sz w:val="28"/>
                <w:szCs w:val="28"/>
              </w:rPr>
            </w:pPr>
            <w:r w:rsidRPr="00D04B31">
              <w:rPr>
                <w:rFonts w:ascii="Times New Roman" w:hAnsi="Times New Roman" w:cs="Times New Roman"/>
                <w:sz w:val="28"/>
                <w:szCs w:val="28"/>
              </w:rPr>
              <w:t>15</w:t>
            </w:r>
          </w:p>
        </w:tc>
        <w:tc>
          <w:tcPr>
            <w:tcW w:w="4450" w:type="pct"/>
          </w:tcPr>
          <w:p w14:paraId="258C1F4A" w14:textId="77777777" w:rsidR="00C56060" w:rsidRPr="00D04B31" w:rsidRDefault="00C56060" w:rsidP="00D04B31">
            <w:pPr>
              <w:pStyle w:val="TableParagraph"/>
              <w:spacing w:before="40" w:line="288" w:lineRule="auto"/>
              <w:ind w:left="55" w:right="43"/>
              <w:jc w:val="both"/>
              <w:rPr>
                <w:rFonts w:ascii="Times New Roman" w:hAnsi="Times New Roman" w:cs="Times New Roman"/>
                <w:sz w:val="28"/>
                <w:szCs w:val="28"/>
              </w:rPr>
            </w:pPr>
            <w:r w:rsidRPr="00D04B31">
              <w:rPr>
                <w:rFonts w:ascii="Times New Roman" w:hAnsi="Times New Roman" w:cs="Times New Roman"/>
                <w:sz w:val="28"/>
                <w:szCs w:val="28"/>
              </w:rPr>
              <w:t>Nghị quyết số 101/2025/UBTVQH15 ngày 26/9/2025 của Ủy ban Thường vụ Quốc hội quy định chi tiết, hướng dẫn việc tổ chức hội nghị cử tri; việc giới thiệu người ứng cử đại biểu Hội đồng nhân dân cấp xã ở thôn, tổ dân phố; việc hiệp thương, giới thiệu người ứng cử, lập danh sách người ứng cử đại biểu Quốc hội, đại biểu Hội đồng nhân dân trong bầu cử bổ sung</w:t>
            </w:r>
          </w:p>
        </w:tc>
      </w:tr>
      <w:tr w:rsidR="00C56060" w:rsidRPr="00D04B31" w14:paraId="27DC5B5F" w14:textId="77777777" w:rsidTr="00A2319F">
        <w:tblPrEx>
          <w:jc w:val="left"/>
        </w:tblPrEx>
        <w:trPr>
          <w:trHeight w:val="1137"/>
        </w:trPr>
        <w:tc>
          <w:tcPr>
            <w:tcW w:w="550" w:type="pct"/>
            <w:vAlign w:val="center"/>
          </w:tcPr>
          <w:p w14:paraId="2A48E36D" w14:textId="77777777" w:rsidR="00C56060" w:rsidRPr="00D04B31" w:rsidRDefault="00C56060" w:rsidP="00D04B31">
            <w:pPr>
              <w:pStyle w:val="TableParagraph"/>
              <w:spacing w:line="288" w:lineRule="auto"/>
              <w:jc w:val="center"/>
              <w:rPr>
                <w:rFonts w:ascii="Times New Roman" w:hAnsi="Times New Roman" w:cs="Times New Roman"/>
                <w:sz w:val="28"/>
                <w:szCs w:val="28"/>
              </w:rPr>
            </w:pPr>
            <w:r w:rsidRPr="00D04B31">
              <w:rPr>
                <w:rFonts w:ascii="Times New Roman" w:hAnsi="Times New Roman" w:cs="Times New Roman"/>
                <w:sz w:val="28"/>
                <w:szCs w:val="28"/>
              </w:rPr>
              <w:t>16</w:t>
            </w:r>
          </w:p>
        </w:tc>
        <w:tc>
          <w:tcPr>
            <w:tcW w:w="4450" w:type="pct"/>
          </w:tcPr>
          <w:p w14:paraId="49499B6C" w14:textId="77777777" w:rsidR="00C56060" w:rsidRPr="00D04B31" w:rsidRDefault="00C56060" w:rsidP="00D04B31">
            <w:pPr>
              <w:pStyle w:val="TableParagraph"/>
              <w:spacing w:before="40" w:line="288" w:lineRule="auto"/>
              <w:ind w:left="55" w:right="44"/>
              <w:jc w:val="both"/>
              <w:rPr>
                <w:rFonts w:ascii="Times New Roman" w:hAnsi="Times New Roman" w:cs="Times New Roman"/>
                <w:sz w:val="28"/>
                <w:szCs w:val="28"/>
              </w:rPr>
            </w:pPr>
            <w:r w:rsidRPr="00D04B31">
              <w:rPr>
                <w:rFonts w:ascii="Times New Roman" w:hAnsi="Times New Roman" w:cs="Times New Roman"/>
                <w:sz w:val="28"/>
                <w:szCs w:val="28"/>
              </w:rPr>
              <w:t>Nghị quyết số 40/NQ-HĐBCQG ngày 29/9/2025 của Hội đồng bầu cử quốc gia quy định mẫu văn bản hồ sơ ứng cử và việc nộp hồ sơ ứng cử; nội quy phòng bỏ phiếu trong công tác bầu cử đại biểu Quốc hội khóa XVI và đại biểu Hội đồng nhân dân các cấp nhiệm kỳ 2026 - 2031</w:t>
            </w:r>
          </w:p>
        </w:tc>
      </w:tr>
      <w:tr w:rsidR="00C56060" w:rsidRPr="00D04B31" w14:paraId="4A2CDF72" w14:textId="77777777" w:rsidTr="00A2319F">
        <w:tblPrEx>
          <w:jc w:val="left"/>
        </w:tblPrEx>
        <w:trPr>
          <w:trHeight w:val="712"/>
        </w:trPr>
        <w:tc>
          <w:tcPr>
            <w:tcW w:w="550" w:type="pct"/>
            <w:vAlign w:val="center"/>
          </w:tcPr>
          <w:p w14:paraId="5822EDFB" w14:textId="77777777" w:rsidR="00C56060" w:rsidRPr="00D04B31" w:rsidRDefault="00C56060" w:rsidP="00D04B31">
            <w:pPr>
              <w:pStyle w:val="TableParagraph"/>
              <w:spacing w:line="288" w:lineRule="auto"/>
              <w:jc w:val="center"/>
              <w:rPr>
                <w:rFonts w:ascii="Times New Roman" w:hAnsi="Times New Roman" w:cs="Times New Roman"/>
                <w:sz w:val="28"/>
                <w:szCs w:val="28"/>
              </w:rPr>
            </w:pPr>
            <w:r w:rsidRPr="00D04B31">
              <w:rPr>
                <w:rFonts w:ascii="Times New Roman" w:hAnsi="Times New Roman" w:cs="Times New Roman"/>
                <w:sz w:val="28"/>
                <w:szCs w:val="28"/>
              </w:rPr>
              <w:t>17</w:t>
            </w:r>
          </w:p>
        </w:tc>
        <w:tc>
          <w:tcPr>
            <w:tcW w:w="4450" w:type="pct"/>
          </w:tcPr>
          <w:p w14:paraId="4F1094E4" w14:textId="77777777" w:rsidR="00C56060" w:rsidRPr="00D04B31" w:rsidRDefault="00C56060" w:rsidP="00D04B31">
            <w:pPr>
              <w:pStyle w:val="TableParagraph"/>
              <w:spacing w:before="40" w:line="288" w:lineRule="auto"/>
              <w:ind w:left="55" w:right="45"/>
              <w:jc w:val="both"/>
              <w:rPr>
                <w:rFonts w:ascii="Times New Roman" w:hAnsi="Times New Roman" w:cs="Times New Roman"/>
                <w:sz w:val="28"/>
                <w:szCs w:val="28"/>
              </w:rPr>
            </w:pPr>
            <w:r w:rsidRPr="00D04B31">
              <w:rPr>
                <w:rFonts w:ascii="Times New Roman" w:hAnsi="Times New Roman" w:cs="Times New Roman"/>
                <w:sz w:val="28"/>
                <w:szCs w:val="28"/>
              </w:rPr>
              <w:t>Nghị quyết số 05/NQ-HĐBCQG ngày 10/7/2025 của Hội đồng bầu cử quốc gia về việc ban hành Quy chế làm việc của Hội đồng bầu cử quốc gia</w:t>
            </w:r>
          </w:p>
        </w:tc>
      </w:tr>
      <w:tr w:rsidR="00C56060" w:rsidRPr="00D04B31" w14:paraId="0580AF7B" w14:textId="77777777" w:rsidTr="00A2319F">
        <w:tblPrEx>
          <w:jc w:val="left"/>
        </w:tblPrEx>
        <w:trPr>
          <w:trHeight w:val="715"/>
        </w:trPr>
        <w:tc>
          <w:tcPr>
            <w:tcW w:w="550" w:type="pct"/>
            <w:vAlign w:val="center"/>
          </w:tcPr>
          <w:p w14:paraId="255718E6" w14:textId="77777777" w:rsidR="00C56060" w:rsidRPr="00D04B31" w:rsidRDefault="00C56060" w:rsidP="00D04B31">
            <w:pPr>
              <w:pStyle w:val="TableParagraph"/>
              <w:spacing w:line="288" w:lineRule="auto"/>
              <w:jc w:val="center"/>
              <w:rPr>
                <w:rFonts w:ascii="Times New Roman" w:hAnsi="Times New Roman" w:cs="Times New Roman"/>
                <w:sz w:val="28"/>
                <w:szCs w:val="28"/>
              </w:rPr>
            </w:pPr>
            <w:r w:rsidRPr="00D04B31">
              <w:rPr>
                <w:rFonts w:ascii="Times New Roman" w:hAnsi="Times New Roman" w:cs="Times New Roman"/>
                <w:sz w:val="28"/>
                <w:szCs w:val="28"/>
              </w:rPr>
              <w:t>18</w:t>
            </w:r>
          </w:p>
        </w:tc>
        <w:tc>
          <w:tcPr>
            <w:tcW w:w="4450" w:type="pct"/>
          </w:tcPr>
          <w:p w14:paraId="1962FC95" w14:textId="77777777" w:rsidR="00C56060" w:rsidRPr="00D04B31" w:rsidRDefault="00C56060" w:rsidP="00D04B31">
            <w:pPr>
              <w:pStyle w:val="TableParagraph"/>
              <w:spacing w:before="41" w:line="288" w:lineRule="auto"/>
              <w:ind w:left="55" w:right="45"/>
              <w:jc w:val="both"/>
              <w:rPr>
                <w:rFonts w:ascii="Times New Roman" w:hAnsi="Times New Roman" w:cs="Times New Roman"/>
                <w:sz w:val="28"/>
                <w:szCs w:val="28"/>
              </w:rPr>
            </w:pPr>
            <w:r w:rsidRPr="00D04B31">
              <w:rPr>
                <w:rFonts w:ascii="Times New Roman" w:hAnsi="Times New Roman" w:cs="Times New Roman"/>
                <w:sz w:val="28"/>
                <w:szCs w:val="28"/>
              </w:rPr>
              <w:t>Nghị quyết số 06/NQ-HĐBCQG ngày 11/7/2025 của Hội đồng bầu cử quốc gia phân công nhiệm vụ thành viên Hội đồng bầu cử quốc gia</w:t>
            </w:r>
          </w:p>
        </w:tc>
      </w:tr>
      <w:tr w:rsidR="00C56060" w:rsidRPr="00D04B31" w14:paraId="44492282" w14:textId="77777777" w:rsidTr="00A2319F">
        <w:tblPrEx>
          <w:jc w:val="left"/>
        </w:tblPrEx>
        <w:trPr>
          <w:trHeight w:val="714"/>
        </w:trPr>
        <w:tc>
          <w:tcPr>
            <w:tcW w:w="550" w:type="pct"/>
            <w:vAlign w:val="center"/>
          </w:tcPr>
          <w:p w14:paraId="7AB8BFE5" w14:textId="77777777" w:rsidR="00C56060" w:rsidRPr="00D04B31" w:rsidRDefault="00C56060" w:rsidP="00D04B31">
            <w:pPr>
              <w:pStyle w:val="TableParagraph"/>
              <w:spacing w:line="288" w:lineRule="auto"/>
              <w:jc w:val="center"/>
              <w:rPr>
                <w:rFonts w:ascii="Times New Roman" w:hAnsi="Times New Roman" w:cs="Times New Roman"/>
                <w:sz w:val="28"/>
                <w:szCs w:val="28"/>
              </w:rPr>
            </w:pPr>
            <w:r w:rsidRPr="00D04B31">
              <w:rPr>
                <w:rFonts w:ascii="Times New Roman" w:hAnsi="Times New Roman" w:cs="Times New Roman"/>
                <w:sz w:val="28"/>
                <w:szCs w:val="28"/>
              </w:rPr>
              <w:t>19</w:t>
            </w:r>
          </w:p>
        </w:tc>
        <w:tc>
          <w:tcPr>
            <w:tcW w:w="4450" w:type="pct"/>
          </w:tcPr>
          <w:p w14:paraId="1CA6C10F" w14:textId="77777777" w:rsidR="00C56060" w:rsidRPr="00D04B31" w:rsidRDefault="00C56060" w:rsidP="00D04B31">
            <w:pPr>
              <w:pStyle w:val="TableParagraph"/>
              <w:spacing w:before="40" w:line="288" w:lineRule="auto"/>
              <w:ind w:left="55" w:right="43"/>
              <w:jc w:val="both"/>
              <w:rPr>
                <w:rFonts w:ascii="Times New Roman" w:hAnsi="Times New Roman" w:cs="Times New Roman"/>
                <w:sz w:val="28"/>
                <w:szCs w:val="28"/>
              </w:rPr>
            </w:pPr>
            <w:r w:rsidRPr="00D04B31">
              <w:rPr>
                <w:rFonts w:ascii="Times New Roman" w:hAnsi="Times New Roman" w:cs="Times New Roman"/>
                <w:sz w:val="28"/>
                <w:szCs w:val="28"/>
              </w:rPr>
              <w:t>Nghị quyết số 07/NQ-HĐBCQG ngày 18/7/2025 của Hội đồng bầu cử quốc gia về việc thành lập Tiểu ban Thông tin, tuyên truyền</w:t>
            </w:r>
          </w:p>
        </w:tc>
      </w:tr>
      <w:tr w:rsidR="00C56060" w:rsidRPr="00D04B31" w14:paraId="5D534DB2" w14:textId="77777777" w:rsidTr="00A2319F">
        <w:tblPrEx>
          <w:jc w:val="left"/>
        </w:tblPrEx>
        <w:trPr>
          <w:trHeight w:val="712"/>
        </w:trPr>
        <w:tc>
          <w:tcPr>
            <w:tcW w:w="550" w:type="pct"/>
            <w:vAlign w:val="center"/>
          </w:tcPr>
          <w:p w14:paraId="3AFD9BD7" w14:textId="77777777" w:rsidR="00C56060" w:rsidRPr="00D04B31" w:rsidRDefault="00C56060" w:rsidP="00D04B31">
            <w:pPr>
              <w:pStyle w:val="TableParagraph"/>
              <w:spacing w:line="288" w:lineRule="auto"/>
              <w:jc w:val="center"/>
              <w:rPr>
                <w:rFonts w:ascii="Times New Roman" w:hAnsi="Times New Roman" w:cs="Times New Roman"/>
                <w:sz w:val="28"/>
                <w:szCs w:val="28"/>
              </w:rPr>
            </w:pPr>
            <w:r w:rsidRPr="00D04B31">
              <w:rPr>
                <w:rFonts w:ascii="Times New Roman" w:hAnsi="Times New Roman" w:cs="Times New Roman"/>
                <w:sz w:val="28"/>
                <w:szCs w:val="28"/>
              </w:rPr>
              <w:t>20</w:t>
            </w:r>
          </w:p>
        </w:tc>
        <w:tc>
          <w:tcPr>
            <w:tcW w:w="4450" w:type="pct"/>
          </w:tcPr>
          <w:p w14:paraId="2E506584" w14:textId="77777777" w:rsidR="00C56060" w:rsidRPr="00D04B31" w:rsidRDefault="00C56060" w:rsidP="00D04B31">
            <w:pPr>
              <w:pStyle w:val="TableParagraph"/>
              <w:spacing w:before="40" w:line="288" w:lineRule="auto"/>
              <w:ind w:left="55" w:right="43"/>
              <w:jc w:val="both"/>
              <w:rPr>
                <w:rFonts w:ascii="Times New Roman" w:hAnsi="Times New Roman" w:cs="Times New Roman"/>
                <w:spacing w:val="-6"/>
                <w:sz w:val="28"/>
                <w:szCs w:val="28"/>
              </w:rPr>
            </w:pPr>
            <w:r w:rsidRPr="00D04B31">
              <w:rPr>
                <w:rFonts w:ascii="Times New Roman" w:hAnsi="Times New Roman" w:cs="Times New Roman"/>
                <w:spacing w:val="-6"/>
                <w:sz w:val="28"/>
                <w:szCs w:val="28"/>
              </w:rPr>
              <w:t>Nghị quyết số 08/NQ-HĐBCQG ngày 18/7/2025 của Hội đồng bầu cử quốc gia về việc thành lập Tiểu ban Văn bản pháp luật và Giải quyết khiếu nại, tố cáo</w:t>
            </w:r>
          </w:p>
        </w:tc>
      </w:tr>
      <w:tr w:rsidR="00C56060" w:rsidRPr="00D04B31" w14:paraId="228823C7" w14:textId="77777777" w:rsidTr="00A2319F">
        <w:tblPrEx>
          <w:jc w:val="left"/>
        </w:tblPrEx>
        <w:trPr>
          <w:trHeight w:val="503"/>
        </w:trPr>
        <w:tc>
          <w:tcPr>
            <w:tcW w:w="550" w:type="pct"/>
            <w:vAlign w:val="center"/>
          </w:tcPr>
          <w:p w14:paraId="5FD89036" w14:textId="77777777" w:rsidR="00C56060" w:rsidRPr="00D04B31" w:rsidRDefault="00C56060" w:rsidP="00D04B31">
            <w:pPr>
              <w:pStyle w:val="TableParagraph"/>
              <w:spacing w:before="146" w:line="288" w:lineRule="auto"/>
              <w:jc w:val="center"/>
              <w:rPr>
                <w:rFonts w:ascii="Times New Roman" w:hAnsi="Times New Roman" w:cs="Times New Roman"/>
                <w:sz w:val="28"/>
                <w:szCs w:val="28"/>
              </w:rPr>
            </w:pPr>
            <w:r w:rsidRPr="00D04B31">
              <w:rPr>
                <w:rFonts w:ascii="Times New Roman" w:hAnsi="Times New Roman" w:cs="Times New Roman"/>
                <w:sz w:val="28"/>
                <w:szCs w:val="28"/>
              </w:rPr>
              <w:t>21</w:t>
            </w:r>
          </w:p>
        </w:tc>
        <w:tc>
          <w:tcPr>
            <w:tcW w:w="4450" w:type="pct"/>
          </w:tcPr>
          <w:p w14:paraId="12214CB3" w14:textId="77777777" w:rsidR="00C56060" w:rsidRPr="00D04B31" w:rsidRDefault="00C56060" w:rsidP="00D04B31">
            <w:pPr>
              <w:pStyle w:val="TableParagraph"/>
              <w:spacing w:before="40" w:line="288" w:lineRule="auto"/>
              <w:ind w:left="55"/>
              <w:jc w:val="both"/>
              <w:rPr>
                <w:rFonts w:ascii="Times New Roman" w:hAnsi="Times New Roman" w:cs="Times New Roman"/>
                <w:sz w:val="28"/>
                <w:szCs w:val="28"/>
              </w:rPr>
            </w:pPr>
            <w:r w:rsidRPr="00D04B31">
              <w:rPr>
                <w:rFonts w:ascii="Times New Roman" w:hAnsi="Times New Roman" w:cs="Times New Roman"/>
                <w:sz w:val="28"/>
                <w:szCs w:val="28"/>
              </w:rPr>
              <w:t>Nghị quyết số 09/NQ-HĐBCQG ngày 18/7/2025 của Hội đồng bầu cử quốc gia về việc thành lập Tiểu ban Nhân sự</w:t>
            </w:r>
          </w:p>
        </w:tc>
      </w:tr>
      <w:tr w:rsidR="00C56060" w:rsidRPr="00D04B31" w14:paraId="30A8AE4A" w14:textId="77777777" w:rsidTr="00A2319F">
        <w:tblPrEx>
          <w:jc w:val="left"/>
        </w:tblPrEx>
        <w:trPr>
          <w:trHeight w:val="712"/>
        </w:trPr>
        <w:tc>
          <w:tcPr>
            <w:tcW w:w="550" w:type="pct"/>
            <w:vAlign w:val="center"/>
          </w:tcPr>
          <w:p w14:paraId="0A1CE94E" w14:textId="77777777" w:rsidR="00C56060" w:rsidRPr="00D04B31" w:rsidRDefault="00C56060" w:rsidP="00D04B31">
            <w:pPr>
              <w:pStyle w:val="TableParagraph"/>
              <w:spacing w:line="288" w:lineRule="auto"/>
              <w:jc w:val="center"/>
              <w:rPr>
                <w:rFonts w:ascii="Times New Roman" w:hAnsi="Times New Roman" w:cs="Times New Roman"/>
                <w:sz w:val="28"/>
                <w:szCs w:val="28"/>
              </w:rPr>
            </w:pPr>
            <w:r w:rsidRPr="00D04B31">
              <w:rPr>
                <w:rFonts w:ascii="Times New Roman" w:hAnsi="Times New Roman" w:cs="Times New Roman"/>
                <w:sz w:val="28"/>
                <w:szCs w:val="28"/>
              </w:rPr>
              <w:t>22</w:t>
            </w:r>
          </w:p>
        </w:tc>
        <w:tc>
          <w:tcPr>
            <w:tcW w:w="4450" w:type="pct"/>
          </w:tcPr>
          <w:p w14:paraId="122F0392" w14:textId="77777777" w:rsidR="00C56060" w:rsidRPr="00D04B31" w:rsidRDefault="00C56060" w:rsidP="00D04B31">
            <w:pPr>
              <w:pStyle w:val="TableParagraph"/>
              <w:spacing w:before="40" w:line="288" w:lineRule="auto"/>
              <w:ind w:left="55" w:right="45"/>
              <w:jc w:val="both"/>
              <w:rPr>
                <w:rFonts w:ascii="Times New Roman" w:hAnsi="Times New Roman" w:cs="Times New Roman"/>
                <w:sz w:val="28"/>
                <w:szCs w:val="28"/>
              </w:rPr>
            </w:pPr>
            <w:r w:rsidRPr="00D04B31">
              <w:rPr>
                <w:rFonts w:ascii="Times New Roman" w:hAnsi="Times New Roman" w:cs="Times New Roman"/>
                <w:sz w:val="28"/>
                <w:szCs w:val="28"/>
              </w:rPr>
              <w:t>Nghị quyết số 10/NQ-HĐBCQG ngày 18/7/2025 của Hội đồng bầu cử quốc gia về việc thành lập Tiểu ban Đảm bảo an ninh, trật tự và an toàn xã hội</w:t>
            </w:r>
          </w:p>
        </w:tc>
      </w:tr>
      <w:tr w:rsidR="00C56060" w:rsidRPr="00D04B31" w14:paraId="3EC9921E" w14:textId="77777777" w:rsidTr="00A2319F">
        <w:tblPrEx>
          <w:jc w:val="left"/>
        </w:tblPrEx>
        <w:trPr>
          <w:trHeight w:val="714"/>
        </w:trPr>
        <w:tc>
          <w:tcPr>
            <w:tcW w:w="550" w:type="pct"/>
            <w:vAlign w:val="center"/>
          </w:tcPr>
          <w:p w14:paraId="0C8CF979" w14:textId="77777777" w:rsidR="00C56060" w:rsidRPr="00D04B31" w:rsidRDefault="00C56060" w:rsidP="00D04B31">
            <w:pPr>
              <w:pStyle w:val="TableParagraph"/>
              <w:spacing w:before="1" w:line="288" w:lineRule="auto"/>
              <w:jc w:val="center"/>
              <w:rPr>
                <w:rFonts w:ascii="Times New Roman" w:hAnsi="Times New Roman" w:cs="Times New Roman"/>
                <w:sz w:val="28"/>
                <w:szCs w:val="28"/>
              </w:rPr>
            </w:pPr>
            <w:r w:rsidRPr="00D04B31">
              <w:rPr>
                <w:rFonts w:ascii="Times New Roman" w:hAnsi="Times New Roman" w:cs="Times New Roman"/>
                <w:sz w:val="28"/>
                <w:szCs w:val="28"/>
              </w:rPr>
              <w:t>23</w:t>
            </w:r>
          </w:p>
        </w:tc>
        <w:tc>
          <w:tcPr>
            <w:tcW w:w="4450" w:type="pct"/>
          </w:tcPr>
          <w:p w14:paraId="174B4CAF" w14:textId="77777777" w:rsidR="00C56060" w:rsidRPr="00D04B31" w:rsidRDefault="00C56060" w:rsidP="00D04B31">
            <w:pPr>
              <w:pStyle w:val="TableParagraph"/>
              <w:spacing w:before="40" w:line="288" w:lineRule="auto"/>
              <w:ind w:left="55" w:right="43"/>
              <w:jc w:val="both"/>
              <w:rPr>
                <w:rFonts w:ascii="Times New Roman" w:hAnsi="Times New Roman" w:cs="Times New Roman"/>
                <w:sz w:val="28"/>
                <w:szCs w:val="28"/>
              </w:rPr>
            </w:pPr>
            <w:r w:rsidRPr="00D04B31">
              <w:rPr>
                <w:rFonts w:ascii="Times New Roman" w:hAnsi="Times New Roman" w:cs="Times New Roman"/>
                <w:sz w:val="28"/>
                <w:szCs w:val="28"/>
              </w:rPr>
              <w:t>Nghị quyết số 88/2025/UBTVQH ngày 10/7/2025 của Ủy ban Thường vụ Quốc hội quy định về bộ máy giúp việc của Hội đồng bầu cử quốc gia</w:t>
            </w:r>
          </w:p>
        </w:tc>
      </w:tr>
      <w:tr w:rsidR="00C56060" w:rsidRPr="00D04B31" w14:paraId="7B2738F5" w14:textId="77777777" w:rsidTr="00A2319F">
        <w:tblPrEx>
          <w:jc w:val="left"/>
        </w:tblPrEx>
        <w:trPr>
          <w:trHeight w:val="715"/>
        </w:trPr>
        <w:tc>
          <w:tcPr>
            <w:tcW w:w="550" w:type="pct"/>
            <w:vAlign w:val="center"/>
          </w:tcPr>
          <w:p w14:paraId="0D3ACDDB" w14:textId="77777777" w:rsidR="00C56060" w:rsidRPr="00D04B31" w:rsidRDefault="00C56060" w:rsidP="00D04B31">
            <w:pPr>
              <w:pStyle w:val="TableParagraph"/>
              <w:spacing w:line="288" w:lineRule="auto"/>
              <w:jc w:val="center"/>
              <w:rPr>
                <w:rFonts w:ascii="Times New Roman" w:hAnsi="Times New Roman" w:cs="Times New Roman"/>
                <w:sz w:val="28"/>
                <w:szCs w:val="28"/>
              </w:rPr>
            </w:pPr>
            <w:r w:rsidRPr="00D04B31">
              <w:rPr>
                <w:rFonts w:ascii="Times New Roman" w:hAnsi="Times New Roman" w:cs="Times New Roman"/>
                <w:sz w:val="28"/>
                <w:szCs w:val="28"/>
              </w:rPr>
              <w:lastRenderedPageBreak/>
              <w:t>24</w:t>
            </w:r>
          </w:p>
        </w:tc>
        <w:tc>
          <w:tcPr>
            <w:tcW w:w="4450" w:type="pct"/>
          </w:tcPr>
          <w:p w14:paraId="23F7F964" w14:textId="77777777" w:rsidR="00C56060" w:rsidRPr="00D04B31" w:rsidRDefault="00C56060" w:rsidP="00D04B31">
            <w:pPr>
              <w:pStyle w:val="TableParagraph"/>
              <w:spacing w:before="40" w:line="288" w:lineRule="auto"/>
              <w:ind w:left="55" w:right="45"/>
              <w:jc w:val="both"/>
              <w:rPr>
                <w:rFonts w:ascii="Times New Roman" w:hAnsi="Times New Roman" w:cs="Times New Roman"/>
                <w:sz w:val="28"/>
                <w:szCs w:val="28"/>
              </w:rPr>
            </w:pPr>
            <w:r w:rsidRPr="00D04B31">
              <w:rPr>
                <w:rFonts w:ascii="Times New Roman" w:hAnsi="Times New Roman" w:cs="Times New Roman"/>
                <w:sz w:val="28"/>
                <w:szCs w:val="28"/>
              </w:rPr>
              <w:t>Nghị quyết số 11/NQ-HĐBCQG ngày 21/7/2025 của Hội đồng bầu cử quốc gia về việc phân công Phó Chánh Văn phòng Hội đồng bầu cử quốc gia</w:t>
            </w:r>
          </w:p>
        </w:tc>
      </w:tr>
      <w:tr w:rsidR="00C56060" w:rsidRPr="00D04B31" w14:paraId="2120F508" w14:textId="77777777" w:rsidTr="00A2319F">
        <w:tblPrEx>
          <w:jc w:val="left"/>
        </w:tblPrEx>
        <w:trPr>
          <w:trHeight w:val="712"/>
        </w:trPr>
        <w:tc>
          <w:tcPr>
            <w:tcW w:w="550" w:type="pct"/>
            <w:vAlign w:val="center"/>
          </w:tcPr>
          <w:p w14:paraId="496BCD47" w14:textId="77777777" w:rsidR="00C56060" w:rsidRPr="00D04B31" w:rsidRDefault="00C56060" w:rsidP="00D04B31">
            <w:pPr>
              <w:pStyle w:val="TableParagraph"/>
              <w:spacing w:line="288" w:lineRule="auto"/>
              <w:jc w:val="center"/>
              <w:rPr>
                <w:rFonts w:ascii="Times New Roman" w:hAnsi="Times New Roman" w:cs="Times New Roman"/>
                <w:sz w:val="28"/>
                <w:szCs w:val="28"/>
              </w:rPr>
            </w:pPr>
            <w:r w:rsidRPr="00D04B31">
              <w:rPr>
                <w:rFonts w:ascii="Times New Roman" w:hAnsi="Times New Roman" w:cs="Times New Roman"/>
                <w:sz w:val="28"/>
                <w:szCs w:val="28"/>
              </w:rPr>
              <w:t>25</w:t>
            </w:r>
          </w:p>
        </w:tc>
        <w:tc>
          <w:tcPr>
            <w:tcW w:w="4450" w:type="pct"/>
          </w:tcPr>
          <w:p w14:paraId="47AF0A0A" w14:textId="77777777" w:rsidR="00C56060" w:rsidRPr="00D04B31" w:rsidRDefault="00C56060" w:rsidP="00D04B31">
            <w:pPr>
              <w:pStyle w:val="TableParagraph"/>
              <w:spacing w:before="40" w:line="288" w:lineRule="auto"/>
              <w:ind w:left="55" w:right="43"/>
              <w:jc w:val="both"/>
              <w:rPr>
                <w:rFonts w:ascii="Times New Roman" w:hAnsi="Times New Roman" w:cs="Times New Roman"/>
                <w:sz w:val="28"/>
                <w:szCs w:val="28"/>
              </w:rPr>
            </w:pPr>
            <w:r w:rsidRPr="00D04B31">
              <w:rPr>
                <w:rFonts w:ascii="Times New Roman" w:hAnsi="Times New Roman" w:cs="Times New Roman"/>
                <w:sz w:val="28"/>
                <w:szCs w:val="28"/>
              </w:rPr>
              <w:t>Nghị quyết số 230/2025/QH15 ngày 24/10/2025 của Quốc hội phê chuẩn đề nghị của Chủ tịch Hội đồng bầu cử quốc gia về việc miễn nhiệm chức vụ Ủy viên Hội đồng bầu cử quốc gia</w:t>
            </w:r>
          </w:p>
        </w:tc>
      </w:tr>
      <w:tr w:rsidR="00C56060" w:rsidRPr="00D04B31" w14:paraId="3B06F1C0" w14:textId="77777777" w:rsidTr="00A2319F">
        <w:tblPrEx>
          <w:jc w:val="left"/>
        </w:tblPrEx>
        <w:trPr>
          <w:trHeight w:val="714"/>
        </w:trPr>
        <w:tc>
          <w:tcPr>
            <w:tcW w:w="550" w:type="pct"/>
            <w:vAlign w:val="center"/>
          </w:tcPr>
          <w:p w14:paraId="2301C148" w14:textId="77777777" w:rsidR="00C56060" w:rsidRPr="00D04B31" w:rsidRDefault="00C56060" w:rsidP="00D04B31">
            <w:pPr>
              <w:pStyle w:val="TableParagraph"/>
              <w:spacing w:line="288" w:lineRule="auto"/>
              <w:jc w:val="center"/>
              <w:rPr>
                <w:rFonts w:ascii="Times New Roman" w:hAnsi="Times New Roman" w:cs="Times New Roman"/>
                <w:sz w:val="28"/>
                <w:szCs w:val="28"/>
              </w:rPr>
            </w:pPr>
            <w:r w:rsidRPr="00D04B31">
              <w:rPr>
                <w:rFonts w:ascii="Times New Roman" w:hAnsi="Times New Roman" w:cs="Times New Roman"/>
                <w:sz w:val="28"/>
                <w:szCs w:val="28"/>
              </w:rPr>
              <w:t>26</w:t>
            </w:r>
          </w:p>
        </w:tc>
        <w:tc>
          <w:tcPr>
            <w:tcW w:w="4450" w:type="pct"/>
          </w:tcPr>
          <w:p w14:paraId="1560BB87" w14:textId="77777777" w:rsidR="00C56060" w:rsidRPr="00912737" w:rsidRDefault="00C56060" w:rsidP="00D04B31">
            <w:pPr>
              <w:pStyle w:val="TableParagraph"/>
              <w:spacing w:before="40" w:line="288" w:lineRule="auto"/>
              <w:ind w:left="55" w:right="43"/>
              <w:jc w:val="both"/>
              <w:rPr>
                <w:rFonts w:ascii="Times New Roman" w:hAnsi="Times New Roman" w:cs="Times New Roman"/>
                <w:spacing w:val="2"/>
                <w:sz w:val="28"/>
                <w:szCs w:val="28"/>
              </w:rPr>
            </w:pPr>
            <w:r w:rsidRPr="00912737">
              <w:rPr>
                <w:rFonts w:ascii="Times New Roman" w:hAnsi="Times New Roman" w:cs="Times New Roman"/>
                <w:spacing w:val="2"/>
                <w:sz w:val="28"/>
                <w:szCs w:val="28"/>
              </w:rPr>
              <w:t>Nghị quyết số 236/2025/QH15 ngày 25/10/2025 của Quốc hội phê chuẩn đề nghị của Chủ tịch Hội đồng bầu cử quốc gia về Ủy viên Hội đồng bầu cử quốc gia</w:t>
            </w:r>
          </w:p>
        </w:tc>
      </w:tr>
      <w:tr w:rsidR="00C56060" w:rsidRPr="00D04B31" w14:paraId="124A2D01" w14:textId="77777777" w:rsidTr="00A2319F">
        <w:tblPrEx>
          <w:jc w:val="left"/>
        </w:tblPrEx>
        <w:trPr>
          <w:trHeight w:val="462"/>
        </w:trPr>
        <w:tc>
          <w:tcPr>
            <w:tcW w:w="550" w:type="pct"/>
            <w:vAlign w:val="center"/>
          </w:tcPr>
          <w:p w14:paraId="420337DE" w14:textId="77777777" w:rsidR="00C56060" w:rsidRPr="00D04B31" w:rsidRDefault="00C56060" w:rsidP="00912737">
            <w:pPr>
              <w:pStyle w:val="TableParagraph"/>
              <w:spacing w:before="20" w:line="288" w:lineRule="auto"/>
              <w:jc w:val="center"/>
              <w:rPr>
                <w:rFonts w:ascii="Times New Roman" w:hAnsi="Times New Roman" w:cs="Times New Roman"/>
                <w:sz w:val="28"/>
                <w:szCs w:val="28"/>
              </w:rPr>
            </w:pPr>
            <w:r w:rsidRPr="00D04B31">
              <w:rPr>
                <w:rFonts w:ascii="Times New Roman" w:hAnsi="Times New Roman" w:cs="Times New Roman"/>
                <w:sz w:val="28"/>
                <w:szCs w:val="28"/>
              </w:rPr>
              <w:t>27</w:t>
            </w:r>
          </w:p>
        </w:tc>
        <w:tc>
          <w:tcPr>
            <w:tcW w:w="4450" w:type="pct"/>
          </w:tcPr>
          <w:p w14:paraId="108325B4" w14:textId="77777777" w:rsidR="00C56060" w:rsidRPr="00D04B31" w:rsidRDefault="00C56060" w:rsidP="00912737">
            <w:pPr>
              <w:pStyle w:val="TableParagraph"/>
              <w:spacing w:before="20" w:line="288" w:lineRule="auto"/>
              <w:ind w:left="55"/>
              <w:jc w:val="both"/>
              <w:rPr>
                <w:rFonts w:ascii="Times New Roman" w:hAnsi="Times New Roman" w:cs="Times New Roman"/>
                <w:sz w:val="28"/>
                <w:szCs w:val="28"/>
              </w:rPr>
            </w:pPr>
            <w:r w:rsidRPr="00D04B31">
              <w:rPr>
                <w:rFonts w:ascii="Times New Roman" w:hAnsi="Times New Roman" w:cs="Times New Roman"/>
                <w:sz w:val="28"/>
                <w:szCs w:val="28"/>
              </w:rPr>
              <w:t>Nghị quyết số 238/2025/QH15 ngày 10/11/2025 của Quốc hội về bổ sung số lượng Ủy viên Hội đồng bầu cử quốc gia</w:t>
            </w:r>
          </w:p>
        </w:tc>
      </w:tr>
      <w:tr w:rsidR="00C56060" w:rsidRPr="00D04B31" w14:paraId="1684F37B" w14:textId="77777777" w:rsidTr="00A2319F">
        <w:tblPrEx>
          <w:jc w:val="left"/>
        </w:tblPrEx>
        <w:trPr>
          <w:trHeight w:val="885"/>
        </w:trPr>
        <w:tc>
          <w:tcPr>
            <w:tcW w:w="550" w:type="pct"/>
            <w:vAlign w:val="center"/>
          </w:tcPr>
          <w:p w14:paraId="0C447419" w14:textId="77777777" w:rsidR="00C56060" w:rsidRPr="00D04B31" w:rsidRDefault="00C56060" w:rsidP="00912737">
            <w:pPr>
              <w:pStyle w:val="TableParagraph"/>
              <w:spacing w:before="20" w:line="288" w:lineRule="auto"/>
              <w:jc w:val="center"/>
              <w:rPr>
                <w:rFonts w:ascii="Times New Roman" w:hAnsi="Times New Roman" w:cs="Times New Roman"/>
                <w:sz w:val="28"/>
                <w:szCs w:val="28"/>
              </w:rPr>
            </w:pPr>
            <w:r w:rsidRPr="00D04B31">
              <w:rPr>
                <w:rFonts w:ascii="Times New Roman" w:hAnsi="Times New Roman" w:cs="Times New Roman"/>
                <w:sz w:val="28"/>
                <w:szCs w:val="28"/>
              </w:rPr>
              <w:t>28</w:t>
            </w:r>
          </w:p>
        </w:tc>
        <w:tc>
          <w:tcPr>
            <w:tcW w:w="4450" w:type="pct"/>
          </w:tcPr>
          <w:p w14:paraId="392689E5" w14:textId="77777777" w:rsidR="00C56060" w:rsidRPr="00D04B31" w:rsidRDefault="00C56060" w:rsidP="00912737">
            <w:pPr>
              <w:pStyle w:val="TableParagraph"/>
              <w:spacing w:before="20" w:line="288" w:lineRule="auto"/>
              <w:ind w:left="55" w:right="43"/>
              <w:jc w:val="both"/>
              <w:rPr>
                <w:rFonts w:ascii="Times New Roman" w:hAnsi="Times New Roman" w:cs="Times New Roman"/>
                <w:sz w:val="28"/>
                <w:szCs w:val="28"/>
              </w:rPr>
            </w:pPr>
            <w:r w:rsidRPr="00D04B31">
              <w:rPr>
                <w:rFonts w:ascii="Times New Roman" w:hAnsi="Times New Roman" w:cs="Times New Roman"/>
                <w:sz w:val="28"/>
                <w:szCs w:val="28"/>
              </w:rPr>
              <w:t>Nghị quyết số 239/2025/QH15 ngày 10/11/2025 của Quốc hội phê chuẩn đề nghị của Chủ tịch Hội đồng bầu cử quốc gia về việc miễn nhiệm chức vụ Phó Chủ tịch Thường trực và Ủy viên Hội đồng bầu cử quốc gia</w:t>
            </w:r>
          </w:p>
        </w:tc>
      </w:tr>
      <w:tr w:rsidR="00C56060" w:rsidRPr="00D04B31" w14:paraId="06841230" w14:textId="77777777" w:rsidTr="00A2319F">
        <w:tblPrEx>
          <w:jc w:val="left"/>
        </w:tblPrEx>
        <w:trPr>
          <w:trHeight w:val="674"/>
        </w:trPr>
        <w:tc>
          <w:tcPr>
            <w:tcW w:w="550" w:type="pct"/>
            <w:vAlign w:val="center"/>
          </w:tcPr>
          <w:p w14:paraId="3809F220" w14:textId="77777777" w:rsidR="00C56060" w:rsidRPr="00D04B31" w:rsidRDefault="00C56060" w:rsidP="00912737">
            <w:pPr>
              <w:pStyle w:val="TableParagraph"/>
              <w:spacing w:before="20" w:line="288" w:lineRule="auto"/>
              <w:jc w:val="center"/>
              <w:rPr>
                <w:rFonts w:ascii="Times New Roman" w:hAnsi="Times New Roman" w:cs="Times New Roman"/>
                <w:sz w:val="28"/>
                <w:szCs w:val="28"/>
              </w:rPr>
            </w:pPr>
            <w:r w:rsidRPr="00D04B31">
              <w:rPr>
                <w:rFonts w:ascii="Times New Roman" w:hAnsi="Times New Roman" w:cs="Times New Roman"/>
                <w:sz w:val="28"/>
                <w:szCs w:val="28"/>
              </w:rPr>
              <w:t>29</w:t>
            </w:r>
          </w:p>
        </w:tc>
        <w:tc>
          <w:tcPr>
            <w:tcW w:w="4450" w:type="pct"/>
          </w:tcPr>
          <w:p w14:paraId="75563033" w14:textId="2E60BCE6" w:rsidR="00C56060" w:rsidRPr="00D04B31" w:rsidRDefault="00C56060" w:rsidP="00912737">
            <w:pPr>
              <w:pStyle w:val="TableParagraph"/>
              <w:spacing w:before="20" w:line="288" w:lineRule="auto"/>
              <w:ind w:left="55"/>
              <w:jc w:val="both"/>
              <w:rPr>
                <w:rFonts w:ascii="Times New Roman" w:hAnsi="Times New Roman" w:cs="Times New Roman"/>
                <w:sz w:val="28"/>
                <w:szCs w:val="28"/>
              </w:rPr>
            </w:pPr>
            <w:r w:rsidRPr="00D04B31">
              <w:rPr>
                <w:rFonts w:ascii="Times New Roman" w:hAnsi="Times New Roman" w:cs="Times New Roman"/>
                <w:sz w:val="28"/>
                <w:szCs w:val="28"/>
              </w:rPr>
              <w:t>Nghị quyết số 243/2025/QH15 ngày 10/11/2025 của Quốc hội phê chuẩn đề nghị của Chủ tịch Hội đồng bầu cử quốc gia về</w:t>
            </w:r>
            <w:r w:rsidR="00D646B2" w:rsidRPr="00D04B31">
              <w:rPr>
                <w:rFonts w:ascii="Times New Roman" w:hAnsi="Times New Roman" w:cs="Times New Roman"/>
                <w:sz w:val="28"/>
                <w:szCs w:val="28"/>
                <w:lang w:val="en-US"/>
              </w:rPr>
              <w:t xml:space="preserve"> </w:t>
            </w:r>
            <w:r w:rsidRPr="00D04B31">
              <w:rPr>
                <w:rFonts w:ascii="Times New Roman" w:hAnsi="Times New Roman" w:cs="Times New Roman"/>
                <w:sz w:val="28"/>
                <w:szCs w:val="28"/>
              </w:rPr>
              <w:t>một số Phó Chủ tịch và Ủy viên Hội đồng bầu cử quốc gia</w:t>
            </w:r>
          </w:p>
        </w:tc>
      </w:tr>
      <w:tr w:rsidR="00C56060" w:rsidRPr="00D04B31" w14:paraId="35502E19" w14:textId="77777777" w:rsidTr="00A2319F">
        <w:tblPrEx>
          <w:jc w:val="left"/>
        </w:tblPrEx>
        <w:trPr>
          <w:trHeight w:val="673"/>
        </w:trPr>
        <w:tc>
          <w:tcPr>
            <w:tcW w:w="550" w:type="pct"/>
            <w:vAlign w:val="center"/>
          </w:tcPr>
          <w:p w14:paraId="7004B249" w14:textId="77777777" w:rsidR="00C56060" w:rsidRPr="00D04B31" w:rsidRDefault="00C56060" w:rsidP="00912737">
            <w:pPr>
              <w:pStyle w:val="TableParagraph"/>
              <w:spacing w:before="20" w:line="288" w:lineRule="auto"/>
              <w:jc w:val="center"/>
              <w:rPr>
                <w:rFonts w:ascii="Times New Roman" w:hAnsi="Times New Roman" w:cs="Times New Roman"/>
                <w:sz w:val="28"/>
                <w:szCs w:val="28"/>
              </w:rPr>
            </w:pPr>
            <w:r w:rsidRPr="00D04B31">
              <w:rPr>
                <w:rFonts w:ascii="Times New Roman" w:hAnsi="Times New Roman" w:cs="Times New Roman"/>
                <w:sz w:val="28"/>
                <w:szCs w:val="28"/>
              </w:rPr>
              <w:t>30</w:t>
            </w:r>
          </w:p>
        </w:tc>
        <w:tc>
          <w:tcPr>
            <w:tcW w:w="4450" w:type="pct"/>
          </w:tcPr>
          <w:p w14:paraId="7F387E3F" w14:textId="77777777" w:rsidR="00C56060" w:rsidRPr="00D04B31" w:rsidRDefault="00C56060" w:rsidP="00912737">
            <w:pPr>
              <w:pStyle w:val="TableParagraph"/>
              <w:spacing w:before="20" w:line="288" w:lineRule="auto"/>
              <w:ind w:left="55" w:right="43"/>
              <w:jc w:val="both"/>
              <w:rPr>
                <w:rFonts w:ascii="Times New Roman" w:hAnsi="Times New Roman" w:cs="Times New Roman"/>
                <w:sz w:val="28"/>
                <w:szCs w:val="28"/>
              </w:rPr>
            </w:pPr>
            <w:r w:rsidRPr="00D04B31">
              <w:rPr>
                <w:rFonts w:ascii="Times New Roman" w:hAnsi="Times New Roman" w:cs="Times New Roman"/>
                <w:sz w:val="28"/>
                <w:szCs w:val="28"/>
              </w:rPr>
              <w:t>Nghị quyết số 63/NQ-HĐBCQG ngày 11/11/2025 của Hội đồng bầu cử quốc gia điều chỉnh, bổ sung thành viên Tiểu ban nhân sự</w:t>
            </w:r>
          </w:p>
        </w:tc>
      </w:tr>
      <w:tr w:rsidR="00C56060" w:rsidRPr="00D04B31" w14:paraId="6B42E565" w14:textId="77777777" w:rsidTr="00A2319F">
        <w:tblPrEx>
          <w:jc w:val="left"/>
        </w:tblPrEx>
        <w:trPr>
          <w:trHeight w:val="674"/>
        </w:trPr>
        <w:tc>
          <w:tcPr>
            <w:tcW w:w="550" w:type="pct"/>
            <w:vAlign w:val="center"/>
          </w:tcPr>
          <w:p w14:paraId="46A605EC" w14:textId="77777777" w:rsidR="00C56060" w:rsidRPr="00D04B31" w:rsidRDefault="00C56060" w:rsidP="00912737">
            <w:pPr>
              <w:pStyle w:val="TableParagraph"/>
              <w:spacing w:before="20" w:line="288" w:lineRule="auto"/>
              <w:jc w:val="center"/>
              <w:rPr>
                <w:rFonts w:ascii="Times New Roman" w:hAnsi="Times New Roman" w:cs="Times New Roman"/>
                <w:sz w:val="28"/>
                <w:szCs w:val="28"/>
              </w:rPr>
            </w:pPr>
            <w:r w:rsidRPr="00D04B31">
              <w:rPr>
                <w:rFonts w:ascii="Times New Roman" w:hAnsi="Times New Roman" w:cs="Times New Roman"/>
                <w:sz w:val="28"/>
                <w:szCs w:val="28"/>
              </w:rPr>
              <w:t>31</w:t>
            </w:r>
          </w:p>
        </w:tc>
        <w:tc>
          <w:tcPr>
            <w:tcW w:w="4450" w:type="pct"/>
          </w:tcPr>
          <w:p w14:paraId="6A3E189B" w14:textId="77777777" w:rsidR="00C56060" w:rsidRPr="00D04B31" w:rsidRDefault="00C56060" w:rsidP="00912737">
            <w:pPr>
              <w:pStyle w:val="TableParagraph"/>
              <w:spacing w:before="20" w:line="288" w:lineRule="auto"/>
              <w:ind w:left="55" w:right="43"/>
              <w:jc w:val="both"/>
              <w:rPr>
                <w:rFonts w:ascii="Times New Roman" w:hAnsi="Times New Roman" w:cs="Times New Roman"/>
                <w:spacing w:val="-6"/>
                <w:sz w:val="28"/>
                <w:szCs w:val="28"/>
              </w:rPr>
            </w:pPr>
            <w:r w:rsidRPr="00D04B31">
              <w:rPr>
                <w:rFonts w:ascii="Times New Roman" w:hAnsi="Times New Roman" w:cs="Times New Roman"/>
                <w:spacing w:val="-6"/>
                <w:sz w:val="28"/>
                <w:szCs w:val="28"/>
              </w:rPr>
              <w:t>Nghị quyết số 64/NQ-HĐBCQG ngày 11/11/2025 của Hội đồng bầu cử quốc gia điều chỉnh phân công nhiệm vụ một số thành viên Hội đồng bầu cử quốc gia</w:t>
            </w:r>
          </w:p>
        </w:tc>
      </w:tr>
      <w:tr w:rsidR="00C56060" w:rsidRPr="00D04B31" w14:paraId="61C23F54" w14:textId="77777777" w:rsidTr="00A2319F">
        <w:tblPrEx>
          <w:jc w:val="left"/>
        </w:tblPrEx>
        <w:trPr>
          <w:trHeight w:val="674"/>
        </w:trPr>
        <w:tc>
          <w:tcPr>
            <w:tcW w:w="550" w:type="pct"/>
            <w:vAlign w:val="center"/>
          </w:tcPr>
          <w:p w14:paraId="170A49F1" w14:textId="77777777" w:rsidR="00C56060" w:rsidRPr="00D04B31" w:rsidRDefault="00C56060" w:rsidP="00912737">
            <w:pPr>
              <w:pStyle w:val="TableParagraph"/>
              <w:spacing w:before="20" w:line="288" w:lineRule="auto"/>
              <w:jc w:val="center"/>
              <w:rPr>
                <w:rFonts w:ascii="Times New Roman" w:hAnsi="Times New Roman" w:cs="Times New Roman"/>
                <w:sz w:val="28"/>
                <w:szCs w:val="28"/>
              </w:rPr>
            </w:pPr>
            <w:r w:rsidRPr="00D04B31">
              <w:rPr>
                <w:rFonts w:ascii="Times New Roman" w:hAnsi="Times New Roman" w:cs="Times New Roman"/>
                <w:sz w:val="28"/>
                <w:szCs w:val="28"/>
              </w:rPr>
              <w:t>32</w:t>
            </w:r>
          </w:p>
        </w:tc>
        <w:tc>
          <w:tcPr>
            <w:tcW w:w="4450" w:type="pct"/>
          </w:tcPr>
          <w:p w14:paraId="00C35C8D" w14:textId="77777777" w:rsidR="00C56060" w:rsidRPr="00D04B31" w:rsidRDefault="00C56060" w:rsidP="00912737">
            <w:pPr>
              <w:pStyle w:val="TableParagraph"/>
              <w:spacing w:before="20" w:line="288" w:lineRule="auto"/>
              <w:ind w:left="55" w:right="43"/>
              <w:jc w:val="both"/>
              <w:rPr>
                <w:rFonts w:ascii="Times New Roman" w:hAnsi="Times New Roman" w:cs="Times New Roman"/>
                <w:sz w:val="28"/>
                <w:szCs w:val="28"/>
              </w:rPr>
            </w:pPr>
            <w:r w:rsidRPr="00D04B31">
              <w:rPr>
                <w:rFonts w:ascii="Times New Roman" w:hAnsi="Times New Roman" w:cs="Times New Roman"/>
                <w:sz w:val="28"/>
                <w:szCs w:val="28"/>
              </w:rPr>
              <w:t>Nghị quyết số 44/NQ-HĐBCQG ngày 31/10/2025 của Hội đồng bầu cử quốc gia kiện toàn nhân sự Phó Chánh Văn phòng Hội đồng bầu cử quốc gia</w:t>
            </w:r>
          </w:p>
        </w:tc>
      </w:tr>
      <w:tr w:rsidR="00C56060" w:rsidRPr="00D04B31" w14:paraId="1A886ED7" w14:textId="77777777" w:rsidTr="00A2319F">
        <w:tblPrEx>
          <w:jc w:val="left"/>
        </w:tblPrEx>
        <w:trPr>
          <w:trHeight w:val="885"/>
        </w:trPr>
        <w:tc>
          <w:tcPr>
            <w:tcW w:w="550" w:type="pct"/>
            <w:vAlign w:val="center"/>
          </w:tcPr>
          <w:p w14:paraId="69257F65" w14:textId="77777777" w:rsidR="00C56060" w:rsidRPr="00D04B31" w:rsidRDefault="00C56060" w:rsidP="00912737">
            <w:pPr>
              <w:pStyle w:val="TableParagraph"/>
              <w:spacing w:before="20" w:line="288" w:lineRule="auto"/>
              <w:jc w:val="center"/>
              <w:rPr>
                <w:rFonts w:ascii="Times New Roman" w:hAnsi="Times New Roman" w:cs="Times New Roman"/>
                <w:sz w:val="28"/>
                <w:szCs w:val="28"/>
              </w:rPr>
            </w:pPr>
            <w:r w:rsidRPr="00D04B31">
              <w:rPr>
                <w:rFonts w:ascii="Times New Roman" w:hAnsi="Times New Roman" w:cs="Times New Roman"/>
                <w:sz w:val="28"/>
                <w:szCs w:val="28"/>
              </w:rPr>
              <w:t>33</w:t>
            </w:r>
          </w:p>
        </w:tc>
        <w:tc>
          <w:tcPr>
            <w:tcW w:w="4450" w:type="pct"/>
          </w:tcPr>
          <w:p w14:paraId="5E9523BA" w14:textId="77777777" w:rsidR="00C56060" w:rsidRPr="00D04B31" w:rsidRDefault="00C56060" w:rsidP="00912737">
            <w:pPr>
              <w:pStyle w:val="TableParagraph"/>
              <w:spacing w:before="20" w:line="288" w:lineRule="auto"/>
              <w:ind w:left="55" w:right="46"/>
              <w:jc w:val="both"/>
              <w:rPr>
                <w:rFonts w:ascii="Times New Roman" w:hAnsi="Times New Roman" w:cs="Times New Roman"/>
                <w:sz w:val="28"/>
                <w:szCs w:val="28"/>
              </w:rPr>
            </w:pPr>
            <w:r w:rsidRPr="00D04B31">
              <w:rPr>
                <w:rFonts w:ascii="Times New Roman" w:hAnsi="Times New Roman" w:cs="Times New Roman"/>
                <w:sz w:val="28"/>
                <w:szCs w:val="28"/>
              </w:rPr>
              <w:t>Kế hoạch số 62/KH-HĐBCQG ngày 11/11/2025 của Hội đồng bầu cử quốc gia triển khai công tác bầu cử đại biểu Quốc hội khóa XVI và đại biểu Hội đồng nhân dân các cấp nhiệm kỳ 2026 - 2031</w:t>
            </w:r>
          </w:p>
        </w:tc>
      </w:tr>
      <w:tr w:rsidR="00C56060" w:rsidRPr="00D04B31" w14:paraId="4033A52D" w14:textId="77777777" w:rsidTr="00A2319F">
        <w:tblPrEx>
          <w:jc w:val="left"/>
        </w:tblPrEx>
        <w:trPr>
          <w:trHeight w:val="1096"/>
        </w:trPr>
        <w:tc>
          <w:tcPr>
            <w:tcW w:w="550" w:type="pct"/>
            <w:vAlign w:val="center"/>
          </w:tcPr>
          <w:p w14:paraId="3FF1E165" w14:textId="77777777" w:rsidR="00C56060" w:rsidRPr="00D04B31" w:rsidRDefault="00C56060" w:rsidP="00912737">
            <w:pPr>
              <w:pStyle w:val="TableParagraph"/>
              <w:spacing w:before="20" w:line="288" w:lineRule="auto"/>
              <w:jc w:val="center"/>
              <w:rPr>
                <w:rFonts w:ascii="Times New Roman" w:hAnsi="Times New Roman" w:cs="Times New Roman"/>
                <w:sz w:val="28"/>
                <w:szCs w:val="28"/>
              </w:rPr>
            </w:pPr>
            <w:r w:rsidRPr="00D04B31">
              <w:rPr>
                <w:rFonts w:ascii="Times New Roman" w:hAnsi="Times New Roman" w:cs="Times New Roman"/>
                <w:sz w:val="28"/>
                <w:szCs w:val="28"/>
              </w:rPr>
              <w:t>34</w:t>
            </w:r>
          </w:p>
        </w:tc>
        <w:tc>
          <w:tcPr>
            <w:tcW w:w="4450" w:type="pct"/>
          </w:tcPr>
          <w:p w14:paraId="3D60A8AC" w14:textId="77777777" w:rsidR="00C56060" w:rsidRPr="00D04B31" w:rsidRDefault="00C56060" w:rsidP="00912737">
            <w:pPr>
              <w:pStyle w:val="TableParagraph"/>
              <w:spacing w:before="20" w:line="288" w:lineRule="auto"/>
              <w:ind w:left="55" w:right="43"/>
              <w:jc w:val="both"/>
              <w:rPr>
                <w:rFonts w:ascii="Times New Roman" w:hAnsi="Times New Roman" w:cs="Times New Roman"/>
                <w:sz w:val="28"/>
                <w:szCs w:val="28"/>
              </w:rPr>
            </w:pPr>
            <w:r w:rsidRPr="00D04B31">
              <w:rPr>
                <w:rFonts w:ascii="Times New Roman" w:hAnsi="Times New Roman" w:cs="Times New Roman"/>
                <w:sz w:val="28"/>
                <w:szCs w:val="28"/>
              </w:rPr>
              <w:t>Thông tri số 04/TT-MTTW-BTT ngày 04/11/2025 của Ban Thường trực Ủy ban Trung ương Mặt trận Tổ quốc Việt Nam hướng dẫn Ủy ban Mặt trận Tổ quốc Việt Nam kiểm tra, giám sát công tác bầu cử đại biểu Quốc hội khóa XVI và đại biểu Hội đồng nhân dân các cấp nhiệm kỳ 2026 - 2031</w:t>
            </w:r>
          </w:p>
        </w:tc>
      </w:tr>
      <w:tr w:rsidR="00C56060" w:rsidRPr="00D04B31" w14:paraId="2BE635A6" w14:textId="77777777" w:rsidTr="00A2319F">
        <w:tblPrEx>
          <w:jc w:val="left"/>
        </w:tblPrEx>
        <w:trPr>
          <w:trHeight w:val="1097"/>
        </w:trPr>
        <w:tc>
          <w:tcPr>
            <w:tcW w:w="550" w:type="pct"/>
            <w:vAlign w:val="center"/>
          </w:tcPr>
          <w:p w14:paraId="089434B5" w14:textId="77777777" w:rsidR="00C56060" w:rsidRPr="00D04B31" w:rsidRDefault="00C56060" w:rsidP="00912737">
            <w:pPr>
              <w:pStyle w:val="TableParagraph"/>
              <w:spacing w:before="20" w:line="288" w:lineRule="auto"/>
              <w:jc w:val="center"/>
              <w:rPr>
                <w:rFonts w:ascii="Times New Roman" w:hAnsi="Times New Roman" w:cs="Times New Roman"/>
                <w:sz w:val="28"/>
                <w:szCs w:val="28"/>
              </w:rPr>
            </w:pPr>
            <w:r w:rsidRPr="00D04B31">
              <w:rPr>
                <w:rFonts w:ascii="Times New Roman" w:hAnsi="Times New Roman" w:cs="Times New Roman"/>
                <w:sz w:val="28"/>
                <w:szCs w:val="28"/>
              </w:rPr>
              <w:t>35</w:t>
            </w:r>
          </w:p>
        </w:tc>
        <w:tc>
          <w:tcPr>
            <w:tcW w:w="4450" w:type="pct"/>
          </w:tcPr>
          <w:p w14:paraId="57748384" w14:textId="7C05A031" w:rsidR="00C56060" w:rsidRPr="00D04B31" w:rsidRDefault="00C56060" w:rsidP="00912737">
            <w:pPr>
              <w:pStyle w:val="TableParagraph"/>
              <w:spacing w:before="20" w:line="288" w:lineRule="auto"/>
              <w:ind w:left="55" w:right="43"/>
              <w:jc w:val="both"/>
              <w:rPr>
                <w:rFonts w:ascii="Times New Roman" w:hAnsi="Times New Roman" w:cs="Times New Roman"/>
                <w:sz w:val="28"/>
                <w:szCs w:val="28"/>
              </w:rPr>
            </w:pPr>
            <w:r w:rsidRPr="00D04B31">
              <w:rPr>
                <w:rFonts w:ascii="Times New Roman" w:hAnsi="Times New Roman" w:cs="Times New Roman"/>
                <w:sz w:val="28"/>
                <w:szCs w:val="28"/>
              </w:rPr>
              <w:t>Thông tri số 05/TT-MTTW-BTT này 04/11/2025 của Ban Thường trực Ủy ban Trung ương Mặt trận Tổ quốc Việt Nam hướng dẫn Mặt trận Tổ quốc Việt Nam tham gia công tác bầu cử đại biểu Quốc hội khóa XVI và đại biểu Hội đồng nhân</w:t>
            </w:r>
            <w:r w:rsidR="00551D9C" w:rsidRPr="00D04B31">
              <w:rPr>
                <w:rFonts w:ascii="Times New Roman" w:hAnsi="Times New Roman" w:cs="Times New Roman"/>
                <w:sz w:val="28"/>
                <w:szCs w:val="28"/>
                <w:lang w:val="en-US"/>
              </w:rPr>
              <w:t xml:space="preserve"> </w:t>
            </w:r>
            <w:r w:rsidRPr="00D04B31">
              <w:rPr>
                <w:rFonts w:ascii="Times New Roman" w:hAnsi="Times New Roman" w:cs="Times New Roman"/>
                <w:sz w:val="28"/>
                <w:szCs w:val="28"/>
              </w:rPr>
              <w:t>dân các cấp nhiệm kỳ 2026 - 2031</w:t>
            </w:r>
          </w:p>
        </w:tc>
      </w:tr>
      <w:tr w:rsidR="00C56060" w:rsidRPr="00D04B31" w14:paraId="089F03EF" w14:textId="77777777" w:rsidTr="00A2319F">
        <w:tblPrEx>
          <w:jc w:val="left"/>
        </w:tblPrEx>
        <w:trPr>
          <w:trHeight w:val="885"/>
        </w:trPr>
        <w:tc>
          <w:tcPr>
            <w:tcW w:w="550" w:type="pct"/>
            <w:vAlign w:val="center"/>
          </w:tcPr>
          <w:p w14:paraId="046CA3DB" w14:textId="77777777" w:rsidR="00C56060" w:rsidRPr="00D04B31" w:rsidRDefault="00C56060" w:rsidP="00912737">
            <w:pPr>
              <w:pStyle w:val="TableParagraph"/>
              <w:spacing w:before="20" w:line="288" w:lineRule="auto"/>
              <w:jc w:val="center"/>
              <w:rPr>
                <w:rFonts w:ascii="Times New Roman" w:hAnsi="Times New Roman" w:cs="Times New Roman"/>
                <w:sz w:val="28"/>
                <w:szCs w:val="28"/>
              </w:rPr>
            </w:pPr>
            <w:r w:rsidRPr="00D04B31">
              <w:rPr>
                <w:rFonts w:ascii="Times New Roman" w:hAnsi="Times New Roman" w:cs="Times New Roman"/>
                <w:sz w:val="28"/>
                <w:szCs w:val="28"/>
              </w:rPr>
              <w:t>36</w:t>
            </w:r>
          </w:p>
        </w:tc>
        <w:tc>
          <w:tcPr>
            <w:tcW w:w="4450" w:type="pct"/>
          </w:tcPr>
          <w:p w14:paraId="56D6C70C" w14:textId="77777777" w:rsidR="00C56060" w:rsidRPr="00D04B31" w:rsidRDefault="00C56060" w:rsidP="00912737">
            <w:pPr>
              <w:pStyle w:val="TableParagraph"/>
              <w:spacing w:before="20" w:line="288" w:lineRule="auto"/>
              <w:ind w:left="55" w:right="43"/>
              <w:jc w:val="both"/>
              <w:rPr>
                <w:rFonts w:ascii="Times New Roman" w:hAnsi="Times New Roman" w:cs="Times New Roman"/>
                <w:sz w:val="28"/>
                <w:szCs w:val="28"/>
              </w:rPr>
            </w:pPr>
            <w:r w:rsidRPr="00D04B31">
              <w:rPr>
                <w:rFonts w:ascii="Times New Roman" w:hAnsi="Times New Roman" w:cs="Times New Roman"/>
                <w:sz w:val="28"/>
                <w:szCs w:val="28"/>
              </w:rPr>
              <w:t>Hướng dẫn số 36-HD/BTCTW ngày 09/9/2025 của Ban Tổ chức Trung ương công tác nhân sự đại biểu Quốc hội khóa XVI và đại biểu Hội đồng nhân dân các cấp nhiệm kỳ 2026 - 2031</w:t>
            </w:r>
          </w:p>
        </w:tc>
      </w:tr>
    </w:tbl>
    <w:p w14:paraId="0E252C9E" w14:textId="77777777" w:rsidR="001B2299" w:rsidRPr="00D04B31" w:rsidRDefault="001B2299" w:rsidP="00D04B31">
      <w:pPr>
        <w:spacing w:line="288" w:lineRule="auto"/>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59"/>
        <w:gridCol w:w="8570"/>
      </w:tblGrid>
      <w:tr w:rsidR="00C56060" w:rsidRPr="00D04B31" w14:paraId="38348D4A" w14:textId="77777777" w:rsidTr="00800E4F">
        <w:trPr>
          <w:trHeight w:val="273"/>
        </w:trPr>
        <w:tc>
          <w:tcPr>
            <w:tcW w:w="550" w:type="pct"/>
            <w:vAlign w:val="center"/>
          </w:tcPr>
          <w:p w14:paraId="47F6E6F5" w14:textId="77777777" w:rsidR="00C56060" w:rsidRPr="00D04B31" w:rsidRDefault="00C56060" w:rsidP="00D04B31">
            <w:pPr>
              <w:pStyle w:val="TableParagraph"/>
              <w:spacing w:line="288" w:lineRule="auto"/>
              <w:jc w:val="center"/>
              <w:rPr>
                <w:rFonts w:ascii="Times New Roman" w:hAnsi="Times New Roman" w:cs="Times New Roman"/>
                <w:sz w:val="28"/>
                <w:szCs w:val="28"/>
              </w:rPr>
            </w:pPr>
            <w:bookmarkStart w:id="1" w:name="_GoBack"/>
            <w:bookmarkEnd w:id="1"/>
            <w:r w:rsidRPr="00D04B31">
              <w:rPr>
                <w:rFonts w:ascii="Times New Roman" w:hAnsi="Times New Roman" w:cs="Times New Roman"/>
                <w:sz w:val="28"/>
                <w:szCs w:val="28"/>
              </w:rPr>
              <w:t>37</w:t>
            </w:r>
          </w:p>
        </w:tc>
        <w:tc>
          <w:tcPr>
            <w:tcW w:w="4450" w:type="pct"/>
          </w:tcPr>
          <w:p w14:paraId="6607116E" w14:textId="77777777" w:rsidR="00C56060" w:rsidRPr="00D04B31" w:rsidRDefault="00C56060" w:rsidP="00D04B31">
            <w:pPr>
              <w:pStyle w:val="TableParagraph"/>
              <w:spacing w:before="42" w:line="288" w:lineRule="auto"/>
              <w:ind w:left="57" w:right="45"/>
              <w:jc w:val="both"/>
              <w:rPr>
                <w:rFonts w:ascii="Times New Roman" w:hAnsi="Times New Roman" w:cs="Times New Roman"/>
                <w:sz w:val="28"/>
                <w:szCs w:val="28"/>
              </w:rPr>
            </w:pPr>
            <w:r w:rsidRPr="00D04B31">
              <w:rPr>
                <w:rFonts w:ascii="Times New Roman" w:hAnsi="Times New Roman" w:cs="Times New Roman"/>
                <w:sz w:val="28"/>
                <w:szCs w:val="28"/>
              </w:rPr>
              <w:t>Hướng dẫn số 19-HD/UBKTTW ngày 25/8/2025 của Ủy ban Kiểm tra Trung ương việc giải quyết tố cáo, khiếu nại về bầu cử đại biểu Quốc hội khóa XVI và đại biểu Hội đồng nhân dân các cấp nhiệm kỳ 2026 - 2031 của cấp ủy, tổ chức đảng, ủy ban kiểm tra các cấp</w:t>
            </w:r>
          </w:p>
        </w:tc>
      </w:tr>
      <w:tr w:rsidR="00C56060" w:rsidRPr="00D04B31" w14:paraId="3BE95AB9" w14:textId="77777777" w:rsidTr="00A2319F">
        <w:trPr>
          <w:trHeight w:val="950"/>
        </w:trPr>
        <w:tc>
          <w:tcPr>
            <w:tcW w:w="550" w:type="pct"/>
            <w:vAlign w:val="center"/>
          </w:tcPr>
          <w:p w14:paraId="22158187" w14:textId="77777777" w:rsidR="00C56060" w:rsidRPr="00D04B31" w:rsidRDefault="00C56060" w:rsidP="00D04B31">
            <w:pPr>
              <w:pStyle w:val="TableParagraph"/>
              <w:spacing w:line="288" w:lineRule="auto"/>
              <w:jc w:val="center"/>
              <w:rPr>
                <w:rFonts w:ascii="Times New Roman" w:hAnsi="Times New Roman" w:cs="Times New Roman"/>
                <w:sz w:val="28"/>
                <w:szCs w:val="28"/>
              </w:rPr>
            </w:pPr>
            <w:r w:rsidRPr="00D04B31">
              <w:rPr>
                <w:rFonts w:ascii="Times New Roman" w:hAnsi="Times New Roman" w:cs="Times New Roman"/>
                <w:sz w:val="28"/>
                <w:szCs w:val="28"/>
              </w:rPr>
              <w:t>38</w:t>
            </w:r>
          </w:p>
        </w:tc>
        <w:tc>
          <w:tcPr>
            <w:tcW w:w="4450" w:type="pct"/>
          </w:tcPr>
          <w:p w14:paraId="2E16CDFE" w14:textId="77777777" w:rsidR="00C56060" w:rsidRPr="00D04B31" w:rsidRDefault="00C56060" w:rsidP="00D04B31">
            <w:pPr>
              <w:pStyle w:val="TableParagraph"/>
              <w:spacing w:before="42" w:line="288" w:lineRule="auto"/>
              <w:ind w:left="55" w:right="43"/>
              <w:jc w:val="both"/>
              <w:rPr>
                <w:rFonts w:ascii="Times New Roman" w:hAnsi="Times New Roman" w:cs="Times New Roman"/>
                <w:sz w:val="28"/>
                <w:szCs w:val="28"/>
              </w:rPr>
            </w:pPr>
            <w:r w:rsidRPr="00D04B31">
              <w:rPr>
                <w:rFonts w:ascii="Times New Roman" w:hAnsi="Times New Roman" w:cs="Times New Roman"/>
                <w:sz w:val="28"/>
                <w:szCs w:val="28"/>
              </w:rPr>
              <w:t>Hướng dẫn số 27-HD/BTGDVTW ngày 11/9/2025 của Ban Tuyên giáo và Dân vận Trung ương tuyên truyền cuộc bầu cử đại biểu Quốc hội khóa XVI và bầu cử đại biểu Hội đồng nhân dân các cấp nhiệm kỳ 2026 - 2031</w:t>
            </w:r>
          </w:p>
        </w:tc>
      </w:tr>
      <w:tr w:rsidR="00C56060" w:rsidRPr="00D04B31" w14:paraId="3480C220" w14:textId="77777777" w:rsidTr="00A2319F">
        <w:trPr>
          <w:trHeight w:val="950"/>
        </w:trPr>
        <w:tc>
          <w:tcPr>
            <w:tcW w:w="550" w:type="pct"/>
            <w:vAlign w:val="center"/>
          </w:tcPr>
          <w:p w14:paraId="731473E3" w14:textId="77777777" w:rsidR="00C56060" w:rsidRPr="00D04B31" w:rsidRDefault="00C56060" w:rsidP="00D04B31">
            <w:pPr>
              <w:pStyle w:val="TableParagraph"/>
              <w:spacing w:line="288" w:lineRule="auto"/>
              <w:jc w:val="center"/>
              <w:rPr>
                <w:rFonts w:ascii="Times New Roman" w:hAnsi="Times New Roman" w:cs="Times New Roman"/>
                <w:sz w:val="28"/>
                <w:szCs w:val="28"/>
              </w:rPr>
            </w:pPr>
            <w:r w:rsidRPr="00D04B31">
              <w:rPr>
                <w:rFonts w:ascii="Times New Roman" w:hAnsi="Times New Roman" w:cs="Times New Roman"/>
                <w:sz w:val="28"/>
                <w:szCs w:val="28"/>
              </w:rPr>
              <w:t>39</w:t>
            </w:r>
          </w:p>
        </w:tc>
        <w:tc>
          <w:tcPr>
            <w:tcW w:w="4450" w:type="pct"/>
          </w:tcPr>
          <w:p w14:paraId="72AEBC75" w14:textId="77777777" w:rsidR="00C56060" w:rsidRPr="003D6AF9" w:rsidRDefault="00C56060" w:rsidP="00D04B31">
            <w:pPr>
              <w:pStyle w:val="TableParagraph"/>
              <w:spacing w:before="42" w:line="288" w:lineRule="auto"/>
              <w:ind w:left="55" w:right="43"/>
              <w:jc w:val="both"/>
              <w:rPr>
                <w:rFonts w:ascii="Times New Roman" w:hAnsi="Times New Roman" w:cs="Times New Roman"/>
                <w:spacing w:val="-2"/>
                <w:sz w:val="28"/>
                <w:szCs w:val="28"/>
              </w:rPr>
            </w:pPr>
            <w:r w:rsidRPr="003D6AF9">
              <w:rPr>
                <w:rFonts w:ascii="Times New Roman" w:hAnsi="Times New Roman" w:cs="Times New Roman"/>
                <w:spacing w:val="-2"/>
                <w:sz w:val="28"/>
                <w:szCs w:val="28"/>
              </w:rPr>
              <w:t>Kế hoạch số 5271/KH-BVHTTDL ngày 06/10/2025 của Bộ Văn hóa, Thể thao và Du lịch về thông tin, tuyên truyền cuộc bầu cử đại biểu Quốc hội khóa XVI và bầu cử đại biểu Hội đồng nhân dân các cấp nhiệm kỳ 2026 - 2031</w:t>
            </w:r>
          </w:p>
        </w:tc>
      </w:tr>
      <w:tr w:rsidR="00C56060" w:rsidRPr="00D04B31" w14:paraId="53B27629" w14:textId="77777777" w:rsidTr="00A2319F">
        <w:trPr>
          <w:trHeight w:val="947"/>
        </w:trPr>
        <w:tc>
          <w:tcPr>
            <w:tcW w:w="550" w:type="pct"/>
            <w:vAlign w:val="center"/>
          </w:tcPr>
          <w:p w14:paraId="13DC7AFA" w14:textId="77777777" w:rsidR="00C56060" w:rsidRPr="00D04B31" w:rsidRDefault="00C56060" w:rsidP="00D04B31">
            <w:pPr>
              <w:pStyle w:val="TableParagraph"/>
              <w:spacing w:line="288" w:lineRule="auto"/>
              <w:jc w:val="center"/>
              <w:rPr>
                <w:rFonts w:ascii="Times New Roman" w:hAnsi="Times New Roman" w:cs="Times New Roman"/>
                <w:sz w:val="28"/>
                <w:szCs w:val="28"/>
              </w:rPr>
            </w:pPr>
            <w:r w:rsidRPr="00D04B31">
              <w:rPr>
                <w:rFonts w:ascii="Times New Roman" w:hAnsi="Times New Roman" w:cs="Times New Roman"/>
                <w:sz w:val="28"/>
                <w:szCs w:val="28"/>
              </w:rPr>
              <w:t>40</w:t>
            </w:r>
          </w:p>
        </w:tc>
        <w:tc>
          <w:tcPr>
            <w:tcW w:w="4450" w:type="pct"/>
          </w:tcPr>
          <w:p w14:paraId="0C6682BE" w14:textId="77777777" w:rsidR="00C56060" w:rsidRPr="00D04B31" w:rsidRDefault="00C56060" w:rsidP="00D04B31">
            <w:pPr>
              <w:pStyle w:val="TableParagraph"/>
              <w:spacing w:before="42" w:line="288" w:lineRule="auto"/>
              <w:ind w:left="55" w:right="43"/>
              <w:jc w:val="both"/>
              <w:rPr>
                <w:rFonts w:ascii="Times New Roman" w:hAnsi="Times New Roman" w:cs="Times New Roman"/>
                <w:sz w:val="28"/>
                <w:szCs w:val="28"/>
              </w:rPr>
            </w:pPr>
            <w:r w:rsidRPr="00D04B31">
              <w:rPr>
                <w:rFonts w:ascii="Times New Roman" w:hAnsi="Times New Roman" w:cs="Times New Roman"/>
                <w:sz w:val="28"/>
                <w:szCs w:val="28"/>
              </w:rPr>
              <w:t>Thông tư số 21/2025/TT-BNV ngày 12/10/2025 của Bộ Nội vụ hướng dẫn nghiệp vụ công tác tổ chức bầu cử đại biểu Quốc hội khóa XVI và đại biểu Hội đồng nhân dân các cấp nhiệm kỳ 2026 - 2031</w:t>
            </w:r>
          </w:p>
        </w:tc>
      </w:tr>
      <w:tr w:rsidR="00C56060" w:rsidRPr="00D04B31" w14:paraId="35875CC8" w14:textId="77777777" w:rsidTr="00A2319F">
        <w:trPr>
          <w:trHeight w:val="950"/>
        </w:trPr>
        <w:tc>
          <w:tcPr>
            <w:tcW w:w="550" w:type="pct"/>
            <w:vAlign w:val="center"/>
          </w:tcPr>
          <w:p w14:paraId="438FFA86" w14:textId="77777777" w:rsidR="00C56060" w:rsidRPr="00D04B31" w:rsidRDefault="00C56060" w:rsidP="00D04B31">
            <w:pPr>
              <w:pStyle w:val="TableParagraph"/>
              <w:spacing w:before="1" w:line="288" w:lineRule="auto"/>
              <w:jc w:val="center"/>
              <w:rPr>
                <w:rFonts w:ascii="Times New Roman" w:hAnsi="Times New Roman" w:cs="Times New Roman"/>
                <w:sz w:val="28"/>
                <w:szCs w:val="28"/>
              </w:rPr>
            </w:pPr>
            <w:r w:rsidRPr="00D04B31">
              <w:rPr>
                <w:rFonts w:ascii="Times New Roman" w:hAnsi="Times New Roman" w:cs="Times New Roman"/>
                <w:sz w:val="28"/>
                <w:szCs w:val="28"/>
              </w:rPr>
              <w:t>41</w:t>
            </w:r>
          </w:p>
        </w:tc>
        <w:tc>
          <w:tcPr>
            <w:tcW w:w="4450" w:type="pct"/>
          </w:tcPr>
          <w:p w14:paraId="058AB67C" w14:textId="77777777" w:rsidR="00C56060" w:rsidRPr="003D6AF9" w:rsidRDefault="00C56060" w:rsidP="00D04B31">
            <w:pPr>
              <w:pStyle w:val="TableParagraph"/>
              <w:spacing w:before="45" w:line="288" w:lineRule="auto"/>
              <w:ind w:left="55" w:right="43"/>
              <w:jc w:val="both"/>
              <w:rPr>
                <w:rFonts w:ascii="Times New Roman" w:hAnsi="Times New Roman" w:cs="Times New Roman"/>
                <w:spacing w:val="-2"/>
                <w:sz w:val="28"/>
                <w:szCs w:val="28"/>
              </w:rPr>
            </w:pPr>
            <w:r w:rsidRPr="003D6AF9">
              <w:rPr>
                <w:rFonts w:ascii="Times New Roman" w:hAnsi="Times New Roman" w:cs="Times New Roman"/>
                <w:spacing w:val="-2"/>
                <w:sz w:val="28"/>
                <w:szCs w:val="28"/>
              </w:rPr>
              <w:t>Thông tư số 87/2025/TT-BTC ngày 29/8/2025 của Bộ Tài chính hướng dẫn việc lập dự toán, quản lý, sử dụng và quyết toán kinh phí bầu cử đại biểu Quốc hội khóa XVI và đại biểu Hội đồng nhân dân các cấp nhiệm kỳ 2026 - 2031</w:t>
            </w:r>
          </w:p>
        </w:tc>
      </w:tr>
      <w:tr w:rsidR="00C56060" w:rsidRPr="00D04B31" w14:paraId="4C2C0CF7" w14:textId="77777777" w:rsidTr="00D04B31">
        <w:trPr>
          <w:trHeight w:val="273"/>
        </w:trPr>
        <w:tc>
          <w:tcPr>
            <w:tcW w:w="550" w:type="pct"/>
            <w:vAlign w:val="center"/>
          </w:tcPr>
          <w:p w14:paraId="459C31DC" w14:textId="77777777" w:rsidR="00C56060" w:rsidRPr="00D04B31" w:rsidRDefault="00C56060" w:rsidP="00D04B31">
            <w:pPr>
              <w:pStyle w:val="TableParagraph"/>
              <w:spacing w:line="288" w:lineRule="auto"/>
              <w:jc w:val="center"/>
              <w:rPr>
                <w:rFonts w:ascii="Times New Roman" w:hAnsi="Times New Roman" w:cs="Times New Roman"/>
                <w:sz w:val="28"/>
                <w:szCs w:val="28"/>
              </w:rPr>
            </w:pPr>
            <w:r w:rsidRPr="00D04B31">
              <w:rPr>
                <w:rFonts w:ascii="Times New Roman" w:hAnsi="Times New Roman" w:cs="Times New Roman"/>
                <w:sz w:val="28"/>
                <w:szCs w:val="28"/>
              </w:rPr>
              <w:t>42</w:t>
            </w:r>
          </w:p>
        </w:tc>
        <w:tc>
          <w:tcPr>
            <w:tcW w:w="4450" w:type="pct"/>
          </w:tcPr>
          <w:p w14:paraId="14318E48" w14:textId="77777777" w:rsidR="00C56060" w:rsidRPr="00D04B31" w:rsidRDefault="00C56060" w:rsidP="00D04B31">
            <w:pPr>
              <w:pStyle w:val="TableParagraph"/>
              <w:spacing w:before="42" w:line="288" w:lineRule="auto"/>
              <w:ind w:left="55" w:right="43"/>
              <w:jc w:val="both"/>
              <w:rPr>
                <w:rFonts w:ascii="Times New Roman" w:hAnsi="Times New Roman" w:cs="Times New Roman"/>
                <w:sz w:val="28"/>
                <w:szCs w:val="28"/>
              </w:rPr>
            </w:pPr>
            <w:r w:rsidRPr="00D04B31">
              <w:rPr>
                <w:rFonts w:ascii="Times New Roman" w:hAnsi="Times New Roman" w:cs="Times New Roman"/>
                <w:sz w:val="28"/>
                <w:szCs w:val="28"/>
              </w:rPr>
              <w:t>Quyết định số 8202/QĐ-BCA-C06 ngày 07/10/2025 của Bộ Công an ban hành Hướng dẫn việc khai thác, sử dụng Cơ sở dữ liệu quốc gia về dân cư và ứng dụng định danh quốc gia (VNeID) trong quá trình lập danh sách cử tri, in thẻ cử tri phục vụ công tác bầu cử đại biểu Quốc hội khóa XVI và đại biểu Hội đồng nhân dân các cấp nhiệm kỳ 2026 – 2031</w:t>
            </w:r>
          </w:p>
        </w:tc>
      </w:tr>
      <w:tr w:rsidR="00C56060" w:rsidRPr="00D04B31" w14:paraId="338BA41E" w14:textId="77777777" w:rsidTr="00A2319F">
        <w:trPr>
          <w:trHeight w:val="731"/>
        </w:trPr>
        <w:tc>
          <w:tcPr>
            <w:tcW w:w="550" w:type="pct"/>
            <w:vAlign w:val="center"/>
          </w:tcPr>
          <w:p w14:paraId="2851C0CD" w14:textId="77777777" w:rsidR="00C56060" w:rsidRPr="00D04B31" w:rsidRDefault="00C56060" w:rsidP="00D04B31">
            <w:pPr>
              <w:pStyle w:val="TableParagraph"/>
              <w:spacing w:line="288" w:lineRule="auto"/>
              <w:jc w:val="center"/>
              <w:rPr>
                <w:rFonts w:ascii="Times New Roman" w:hAnsi="Times New Roman" w:cs="Times New Roman"/>
                <w:sz w:val="28"/>
                <w:szCs w:val="28"/>
              </w:rPr>
            </w:pPr>
            <w:r w:rsidRPr="00D04B31">
              <w:rPr>
                <w:rFonts w:ascii="Times New Roman" w:hAnsi="Times New Roman" w:cs="Times New Roman"/>
                <w:sz w:val="28"/>
                <w:szCs w:val="28"/>
              </w:rPr>
              <w:t>43</w:t>
            </w:r>
          </w:p>
        </w:tc>
        <w:tc>
          <w:tcPr>
            <w:tcW w:w="4450" w:type="pct"/>
          </w:tcPr>
          <w:p w14:paraId="635E4BB7" w14:textId="77777777" w:rsidR="00C56060" w:rsidRPr="00D04B31" w:rsidRDefault="00C56060" w:rsidP="00D04B31">
            <w:pPr>
              <w:pStyle w:val="TableParagraph"/>
              <w:spacing w:before="42" w:line="288" w:lineRule="auto"/>
              <w:ind w:left="55" w:right="43"/>
              <w:jc w:val="both"/>
              <w:rPr>
                <w:rFonts w:ascii="Times New Roman" w:hAnsi="Times New Roman" w:cs="Times New Roman"/>
                <w:sz w:val="28"/>
                <w:szCs w:val="28"/>
              </w:rPr>
            </w:pPr>
            <w:r w:rsidRPr="00D04B31">
              <w:rPr>
                <w:rFonts w:ascii="Times New Roman" w:hAnsi="Times New Roman" w:cs="Times New Roman"/>
                <w:sz w:val="28"/>
                <w:szCs w:val="28"/>
              </w:rPr>
              <w:t>Công văn số 4959/BCA-C06 ngày 04/11/2025 của Bộ Công an về việc đăng ký mẫu con dấu, thu hồi con dấu của các tổ chức phụ trách bầu cử</w:t>
            </w:r>
          </w:p>
        </w:tc>
      </w:tr>
    </w:tbl>
    <w:p w14:paraId="0C68C4A3" w14:textId="77777777" w:rsidR="0000668D" w:rsidRDefault="0000668D" w:rsidP="0000668D">
      <w:pPr>
        <w:widowControl/>
        <w:autoSpaceDE/>
        <w:autoSpaceDN/>
        <w:spacing w:after="160" w:line="288" w:lineRule="auto"/>
        <w:jc w:val="both"/>
        <w:rPr>
          <w:b/>
          <w:i/>
          <w:sz w:val="28"/>
          <w:szCs w:val="28"/>
          <w:lang w:val="en-US"/>
        </w:rPr>
      </w:pPr>
      <w:bookmarkStart w:id="2" w:name="_bookmark212"/>
      <w:bookmarkEnd w:id="2"/>
    </w:p>
    <w:p w14:paraId="2074A684" w14:textId="6E8F597B" w:rsidR="00950C61" w:rsidRPr="0000668D" w:rsidRDefault="0000668D" w:rsidP="00E32C72">
      <w:pPr>
        <w:widowControl/>
        <w:autoSpaceDE/>
        <w:autoSpaceDN/>
        <w:spacing w:after="160" w:line="288" w:lineRule="auto"/>
        <w:jc w:val="right"/>
        <w:rPr>
          <w:b/>
          <w:i/>
          <w:sz w:val="28"/>
          <w:szCs w:val="28"/>
          <w:lang w:val="en-US"/>
        </w:rPr>
      </w:pPr>
      <w:r>
        <w:rPr>
          <w:b/>
          <w:i/>
          <w:sz w:val="28"/>
          <w:szCs w:val="28"/>
          <w:lang w:val="en-US"/>
        </w:rPr>
        <w:t xml:space="preserve">Ban Thanh tra tổng hợp từ </w:t>
      </w:r>
      <w:r w:rsidRPr="0000668D">
        <w:rPr>
          <w:b/>
          <w:i/>
          <w:sz w:val="28"/>
          <w:szCs w:val="28"/>
          <w:lang w:val="en-US"/>
        </w:rPr>
        <w:t>https://hoidongbaucu.quochoi.vn/</w:t>
      </w:r>
    </w:p>
    <w:sectPr w:rsidR="00950C61" w:rsidRPr="0000668D" w:rsidSect="00D646B2">
      <w:footerReference w:type="default" r:id="rId8"/>
      <w:pgSz w:w="11907" w:h="16840" w:code="9"/>
      <w:pgMar w:top="1134" w:right="1134" w:bottom="1134" w:left="1134" w:header="0"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95826" w14:textId="77777777" w:rsidR="002C6AA4" w:rsidRDefault="002C6AA4" w:rsidP="003B4917">
      <w:r>
        <w:separator/>
      </w:r>
    </w:p>
  </w:endnote>
  <w:endnote w:type="continuationSeparator" w:id="0">
    <w:p w14:paraId="5B636C3D" w14:textId="77777777" w:rsidR="002C6AA4" w:rsidRDefault="002C6AA4" w:rsidP="003B4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4055600"/>
      <w:docPartObj>
        <w:docPartGallery w:val="Page Numbers (Bottom of Page)"/>
        <w:docPartUnique/>
      </w:docPartObj>
    </w:sdtPr>
    <w:sdtEndPr>
      <w:rPr>
        <w:noProof/>
        <w:sz w:val="24"/>
        <w:szCs w:val="24"/>
      </w:rPr>
    </w:sdtEndPr>
    <w:sdtContent>
      <w:p w14:paraId="23C3FE7D" w14:textId="64ED79F1" w:rsidR="003B4917" w:rsidRPr="00D646B2" w:rsidRDefault="003B4917" w:rsidP="00D646B2">
        <w:pPr>
          <w:pStyle w:val="Footer"/>
          <w:jc w:val="center"/>
          <w:rPr>
            <w:sz w:val="24"/>
            <w:szCs w:val="24"/>
          </w:rPr>
        </w:pPr>
        <w:r w:rsidRPr="00D646B2">
          <w:rPr>
            <w:sz w:val="24"/>
            <w:szCs w:val="24"/>
          </w:rPr>
          <w:fldChar w:fldCharType="begin"/>
        </w:r>
        <w:r w:rsidRPr="00D646B2">
          <w:rPr>
            <w:sz w:val="24"/>
            <w:szCs w:val="24"/>
          </w:rPr>
          <w:instrText xml:space="preserve"> PAGE   \* MERGEFORMAT </w:instrText>
        </w:r>
        <w:r w:rsidRPr="00D646B2">
          <w:rPr>
            <w:sz w:val="24"/>
            <w:szCs w:val="24"/>
          </w:rPr>
          <w:fldChar w:fldCharType="separate"/>
        </w:r>
        <w:r w:rsidRPr="00D646B2">
          <w:rPr>
            <w:noProof/>
            <w:sz w:val="24"/>
            <w:szCs w:val="24"/>
          </w:rPr>
          <w:t>2</w:t>
        </w:r>
        <w:r w:rsidRPr="00D646B2">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462E5" w14:textId="77777777" w:rsidR="002C6AA4" w:rsidRDefault="002C6AA4" w:rsidP="003B4917">
      <w:r>
        <w:separator/>
      </w:r>
    </w:p>
  </w:footnote>
  <w:footnote w:type="continuationSeparator" w:id="0">
    <w:p w14:paraId="7A77EAA3" w14:textId="77777777" w:rsidR="002C6AA4" w:rsidRDefault="002C6AA4" w:rsidP="003B4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E4C1A"/>
    <w:multiLevelType w:val="hybridMultilevel"/>
    <w:tmpl w:val="AC9AFF8A"/>
    <w:lvl w:ilvl="0" w:tplc="109ECA58">
      <w:numFmt w:val="bullet"/>
      <w:lvlText w:val="-"/>
      <w:lvlJc w:val="left"/>
      <w:pPr>
        <w:ind w:left="144" w:hanging="176"/>
      </w:pPr>
      <w:rPr>
        <w:rFonts w:ascii="Times New Roman" w:eastAsia="Times New Roman" w:hAnsi="Times New Roman" w:cs="Times New Roman" w:hint="default"/>
        <w:b w:val="0"/>
        <w:bCs w:val="0"/>
        <w:i w:val="0"/>
        <w:iCs w:val="0"/>
        <w:spacing w:val="0"/>
        <w:w w:val="100"/>
        <w:sz w:val="24"/>
        <w:szCs w:val="24"/>
        <w:lang w:val="vi" w:eastAsia="en-US" w:bidi="ar-SA"/>
      </w:rPr>
    </w:lvl>
    <w:lvl w:ilvl="1" w:tplc="129C2A6C">
      <w:numFmt w:val="bullet"/>
      <w:lvlText w:val="•"/>
      <w:lvlJc w:val="left"/>
      <w:pPr>
        <w:ind w:left="721" w:hanging="176"/>
      </w:pPr>
      <w:rPr>
        <w:rFonts w:hint="default"/>
        <w:lang w:val="vi" w:eastAsia="en-US" w:bidi="ar-SA"/>
      </w:rPr>
    </w:lvl>
    <w:lvl w:ilvl="2" w:tplc="BE4E4BB6">
      <w:numFmt w:val="bullet"/>
      <w:lvlText w:val="•"/>
      <w:lvlJc w:val="left"/>
      <w:pPr>
        <w:ind w:left="1302" w:hanging="176"/>
      </w:pPr>
      <w:rPr>
        <w:rFonts w:hint="default"/>
        <w:lang w:val="vi" w:eastAsia="en-US" w:bidi="ar-SA"/>
      </w:rPr>
    </w:lvl>
    <w:lvl w:ilvl="3" w:tplc="DB500584">
      <w:numFmt w:val="bullet"/>
      <w:lvlText w:val="•"/>
      <w:lvlJc w:val="left"/>
      <w:pPr>
        <w:ind w:left="1884" w:hanging="176"/>
      </w:pPr>
      <w:rPr>
        <w:rFonts w:hint="default"/>
        <w:lang w:val="vi" w:eastAsia="en-US" w:bidi="ar-SA"/>
      </w:rPr>
    </w:lvl>
    <w:lvl w:ilvl="4" w:tplc="0F080B72">
      <w:numFmt w:val="bullet"/>
      <w:lvlText w:val="•"/>
      <w:lvlJc w:val="left"/>
      <w:pPr>
        <w:ind w:left="2465" w:hanging="176"/>
      </w:pPr>
      <w:rPr>
        <w:rFonts w:hint="default"/>
        <w:lang w:val="vi" w:eastAsia="en-US" w:bidi="ar-SA"/>
      </w:rPr>
    </w:lvl>
    <w:lvl w:ilvl="5" w:tplc="53BA6CC2">
      <w:numFmt w:val="bullet"/>
      <w:lvlText w:val="•"/>
      <w:lvlJc w:val="left"/>
      <w:pPr>
        <w:ind w:left="3047" w:hanging="176"/>
      </w:pPr>
      <w:rPr>
        <w:rFonts w:hint="default"/>
        <w:lang w:val="vi" w:eastAsia="en-US" w:bidi="ar-SA"/>
      </w:rPr>
    </w:lvl>
    <w:lvl w:ilvl="6" w:tplc="EC006DDC">
      <w:numFmt w:val="bullet"/>
      <w:lvlText w:val="•"/>
      <w:lvlJc w:val="left"/>
      <w:pPr>
        <w:ind w:left="3628" w:hanging="176"/>
      </w:pPr>
      <w:rPr>
        <w:rFonts w:hint="default"/>
        <w:lang w:val="vi" w:eastAsia="en-US" w:bidi="ar-SA"/>
      </w:rPr>
    </w:lvl>
    <w:lvl w:ilvl="7" w:tplc="1BA03FEE">
      <w:numFmt w:val="bullet"/>
      <w:lvlText w:val="•"/>
      <w:lvlJc w:val="left"/>
      <w:pPr>
        <w:ind w:left="4210" w:hanging="176"/>
      </w:pPr>
      <w:rPr>
        <w:rFonts w:hint="default"/>
        <w:lang w:val="vi" w:eastAsia="en-US" w:bidi="ar-SA"/>
      </w:rPr>
    </w:lvl>
    <w:lvl w:ilvl="8" w:tplc="05143228">
      <w:numFmt w:val="bullet"/>
      <w:lvlText w:val="•"/>
      <w:lvlJc w:val="left"/>
      <w:pPr>
        <w:ind w:left="4791" w:hanging="176"/>
      </w:pPr>
      <w:rPr>
        <w:rFonts w:hint="default"/>
        <w:lang w:val="vi" w:eastAsia="en-US" w:bidi="ar-SA"/>
      </w:rPr>
    </w:lvl>
  </w:abstractNum>
  <w:abstractNum w:abstractNumId="1" w15:restartNumberingAfterBreak="0">
    <w:nsid w:val="49701345"/>
    <w:multiLevelType w:val="hybridMultilevel"/>
    <w:tmpl w:val="03703468"/>
    <w:lvl w:ilvl="0" w:tplc="ED8A4DCC">
      <w:numFmt w:val="bullet"/>
      <w:lvlText w:val=""/>
      <w:lvlJc w:val="left"/>
      <w:pPr>
        <w:ind w:left="144" w:hanging="176"/>
      </w:pPr>
      <w:rPr>
        <w:rFonts w:ascii="Wingdings" w:eastAsia="Wingdings" w:hAnsi="Wingdings" w:cs="Wingdings" w:hint="default"/>
        <w:b w:val="0"/>
        <w:bCs w:val="0"/>
        <w:i w:val="0"/>
        <w:iCs w:val="0"/>
        <w:spacing w:val="0"/>
        <w:w w:val="100"/>
        <w:sz w:val="24"/>
        <w:szCs w:val="24"/>
        <w:lang w:val="vi" w:eastAsia="en-US" w:bidi="ar-SA"/>
      </w:rPr>
    </w:lvl>
    <w:lvl w:ilvl="1" w:tplc="0AE2F8B2">
      <w:numFmt w:val="bullet"/>
      <w:lvlText w:val="•"/>
      <w:lvlJc w:val="left"/>
      <w:pPr>
        <w:ind w:left="721" w:hanging="176"/>
      </w:pPr>
      <w:rPr>
        <w:rFonts w:hint="default"/>
        <w:lang w:val="vi" w:eastAsia="en-US" w:bidi="ar-SA"/>
      </w:rPr>
    </w:lvl>
    <w:lvl w:ilvl="2" w:tplc="6C64CD38">
      <w:numFmt w:val="bullet"/>
      <w:lvlText w:val="•"/>
      <w:lvlJc w:val="left"/>
      <w:pPr>
        <w:ind w:left="1302" w:hanging="176"/>
      </w:pPr>
      <w:rPr>
        <w:rFonts w:hint="default"/>
        <w:lang w:val="vi" w:eastAsia="en-US" w:bidi="ar-SA"/>
      </w:rPr>
    </w:lvl>
    <w:lvl w:ilvl="3" w:tplc="550867A4">
      <w:numFmt w:val="bullet"/>
      <w:lvlText w:val="•"/>
      <w:lvlJc w:val="left"/>
      <w:pPr>
        <w:ind w:left="1884" w:hanging="176"/>
      </w:pPr>
      <w:rPr>
        <w:rFonts w:hint="default"/>
        <w:lang w:val="vi" w:eastAsia="en-US" w:bidi="ar-SA"/>
      </w:rPr>
    </w:lvl>
    <w:lvl w:ilvl="4" w:tplc="61FC54D4">
      <w:numFmt w:val="bullet"/>
      <w:lvlText w:val="•"/>
      <w:lvlJc w:val="left"/>
      <w:pPr>
        <w:ind w:left="2465" w:hanging="176"/>
      </w:pPr>
      <w:rPr>
        <w:rFonts w:hint="default"/>
        <w:lang w:val="vi" w:eastAsia="en-US" w:bidi="ar-SA"/>
      </w:rPr>
    </w:lvl>
    <w:lvl w:ilvl="5" w:tplc="CCC09252">
      <w:numFmt w:val="bullet"/>
      <w:lvlText w:val="•"/>
      <w:lvlJc w:val="left"/>
      <w:pPr>
        <w:ind w:left="3047" w:hanging="176"/>
      </w:pPr>
      <w:rPr>
        <w:rFonts w:hint="default"/>
        <w:lang w:val="vi" w:eastAsia="en-US" w:bidi="ar-SA"/>
      </w:rPr>
    </w:lvl>
    <w:lvl w:ilvl="6" w:tplc="FE4AF614">
      <w:numFmt w:val="bullet"/>
      <w:lvlText w:val="•"/>
      <w:lvlJc w:val="left"/>
      <w:pPr>
        <w:ind w:left="3628" w:hanging="176"/>
      </w:pPr>
      <w:rPr>
        <w:rFonts w:hint="default"/>
        <w:lang w:val="vi" w:eastAsia="en-US" w:bidi="ar-SA"/>
      </w:rPr>
    </w:lvl>
    <w:lvl w:ilvl="7" w:tplc="FF1A2B18">
      <w:numFmt w:val="bullet"/>
      <w:lvlText w:val="•"/>
      <w:lvlJc w:val="left"/>
      <w:pPr>
        <w:ind w:left="4210" w:hanging="176"/>
      </w:pPr>
      <w:rPr>
        <w:rFonts w:hint="default"/>
        <w:lang w:val="vi" w:eastAsia="en-US" w:bidi="ar-SA"/>
      </w:rPr>
    </w:lvl>
    <w:lvl w:ilvl="8" w:tplc="B6623D62">
      <w:numFmt w:val="bullet"/>
      <w:lvlText w:val="•"/>
      <w:lvlJc w:val="left"/>
      <w:pPr>
        <w:ind w:left="4791" w:hanging="176"/>
      </w:pPr>
      <w:rPr>
        <w:rFonts w:hint="default"/>
        <w:lang w:val="vi" w:eastAsia="en-US" w:bidi="ar-SA"/>
      </w:rPr>
    </w:lvl>
  </w:abstractNum>
  <w:abstractNum w:abstractNumId="2" w15:restartNumberingAfterBreak="0">
    <w:nsid w:val="7880237F"/>
    <w:multiLevelType w:val="hybridMultilevel"/>
    <w:tmpl w:val="1172A9B4"/>
    <w:lvl w:ilvl="0" w:tplc="F264A35E">
      <w:numFmt w:val="bullet"/>
      <w:lvlText w:val=""/>
      <w:lvlJc w:val="left"/>
      <w:pPr>
        <w:ind w:left="144" w:hanging="240"/>
      </w:pPr>
      <w:rPr>
        <w:rFonts w:ascii="Wingdings" w:eastAsia="Wingdings" w:hAnsi="Wingdings" w:cs="Wingdings" w:hint="default"/>
        <w:b w:val="0"/>
        <w:bCs w:val="0"/>
        <w:i w:val="0"/>
        <w:iCs w:val="0"/>
        <w:spacing w:val="0"/>
        <w:w w:val="100"/>
        <w:sz w:val="24"/>
        <w:szCs w:val="24"/>
        <w:lang w:val="vi" w:eastAsia="en-US" w:bidi="ar-SA"/>
      </w:rPr>
    </w:lvl>
    <w:lvl w:ilvl="1" w:tplc="D6D66328">
      <w:numFmt w:val="bullet"/>
      <w:lvlText w:val="•"/>
      <w:lvlJc w:val="left"/>
      <w:pPr>
        <w:ind w:left="721" w:hanging="240"/>
      </w:pPr>
      <w:rPr>
        <w:rFonts w:hint="default"/>
        <w:lang w:val="vi" w:eastAsia="en-US" w:bidi="ar-SA"/>
      </w:rPr>
    </w:lvl>
    <w:lvl w:ilvl="2" w:tplc="7F3CA8F4">
      <w:numFmt w:val="bullet"/>
      <w:lvlText w:val="•"/>
      <w:lvlJc w:val="left"/>
      <w:pPr>
        <w:ind w:left="1302" w:hanging="240"/>
      </w:pPr>
      <w:rPr>
        <w:rFonts w:hint="default"/>
        <w:lang w:val="vi" w:eastAsia="en-US" w:bidi="ar-SA"/>
      </w:rPr>
    </w:lvl>
    <w:lvl w:ilvl="3" w:tplc="3974A9F2">
      <w:numFmt w:val="bullet"/>
      <w:lvlText w:val="•"/>
      <w:lvlJc w:val="left"/>
      <w:pPr>
        <w:ind w:left="1884" w:hanging="240"/>
      </w:pPr>
      <w:rPr>
        <w:rFonts w:hint="default"/>
        <w:lang w:val="vi" w:eastAsia="en-US" w:bidi="ar-SA"/>
      </w:rPr>
    </w:lvl>
    <w:lvl w:ilvl="4" w:tplc="4AFCFA38">
      <w:numFmt w:val="bullet"/>
      <w:lvlText w:val="•"/>
      <w:lvlJc w:val="left"/>
      <w:pPr>
        <w:ind w:left="2465" w:hanging="240"/>
      </w:pPr>
      <w:rPr>
        <w:rFonts w:hint="default"/>
        <w:lang w:val="vi" w:eastAsia="en-US" w:bidi="ar-SA"/>
      </w:rPr>
    </w:lvl>
    <w:lvl w:ilvl="5" w:tplc="EC8A161E">
      <w:numFmt w:val="bullet"/>
      <w:lvlText w:val="•"/>
      <w:lvlJc w:val="left"/>
      <w:pPr>
        <w:ind w:left="3047" w:hanging="240"/>
      </w:pPr>
      <w:rPr>
        <w:rFonts w:hint="default"/>
        <w:lang w:val="vi" w:eastAsia="en-US" w:bidi="ar-SA"/>
      </w:rPr>
    </w:lvl>
    <w:lvl w:ilvl="6" w:tplc="C9680F76">
      <w:numFmt w:val="bullet"/>
      <w:lvlText w:val="•"/>
      <w:lvlJc w:val="left"/>
      <w:pPr>
        <w:ind w:left="3628" w:hanging="240"/>
      </w:pPr>
      <w:rPr>
        <w:rFonts w:hint="default"/>
        <w:lang w:val="vi" w:eastAsia="en-US" w:bidi="ar-SA"/>
      </w:rPr>
    </w:lvl>
    <w:lvl w:ilvl="7" w:tplc="95602426">
      <w:numFmt w:val="bullet"/>
      <w:lvlText w:val="•"/>
      <w:lvlJc w:val="left"/>
      <w:pPr>
        <w:ind w:left="4210" w:hanging="240"/>
      </w:pPr>
      <w:rPr>
        <w:rFonts w:hint="default"/>
        <w:lang w:val="vi" w:eastAsia="en-US" w:bidi="ar-SA"/>
      </w:rPr>
    </w:lvl>
    <w:lvl w:ilvl="8" w:tplc="1AB04308">
      <w:numFmt w:val="bullet"/>
      <w:lvlText w:val="•"/>
      <w:lvlJc w:val="left"/>
      <w:pPr>
        <w:ind w:left="4791" w:hanging="240"/>
      </w:pPr>
      <w:rPr>
        <w:rFonts w:hint="default"/>
        <w:lang w:val="vi" w:eastAsia="en-US" w:bidi="ar-SA"/>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776"/>
    <w:rsid w:val="0000668D"/>
    <w:rsid w:val="00107BB9"/>
    <w:rsid w:val="001B2299"/>
    <w:rsid w:val="002839B8"/>
    <w:rsid w:val="00291B9B"/>
    <w:rsid w:val="002C6AA4"/>
    <w:rsid w:val="003B4917"/>
    <w:rsid w:val="003D6AF9"/>
    <w:rsid w:val="00411C27"/>
    <w:rsid w:val="0045435A"/>
    <w:rsid w:val="004928A4"/>
    <w:rsid w:val="00507F42"/>
    <w:rsid w:val="00551D9C"/>
    <w:rsid w:val="00556EF3"/>
    <w:rsid w:val="00613C1A"/>
    <w:rsid w:val="006C2ED3"/>
    <w:rsid w:val="00774A5C"/>
    <w:rsid w:val="00793CA1"/>
    <w:rsid w:val="00800E4F"/>
    <w:rsid w:val="008F4DD7"/>
    <w:rsid w:val="00912737"/>
    <w:rsid w:val="00950C61"/>
    <w:rsid w:val="00986802"/>
    <w:rsid w:val="009C4385"/>
    <w:rsid w:val="009C6E9E"/>
    <w:rsid w:val="009F2C45"/>
    <w:rsid w:val="00A07A18"/>
    <w:rsid w:val="00A2319F"/>
    <w:rsid w:val="00A25017"/>
    <w:rsid w:val="00A94776"/>
    <w:rsid w:val="00B55A32"/>
    <w:rsid w:val="00B95590"/>
    <w:rsid w:val="00C56060"/>
    <w:rsid w:val="00D04B31"/>
    <w:rsid w:val="00D12F26"/>
    <w:rsid w:val="00D646B2"/>
    <w:rsid w:val="00D66B9F"/>
    <w:rsid w:val="00E32C72"/>
    <w:rsid w:val="00F40A14"/>
    <w:rsid w:val="00F6541A"/>
    <w:rsid w:val="00FC1FAE"/>
    <w:rsid w:val="00FD4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B1564"/>
  <w15:chartTrackingRefBased/>
  <w15:docId w15:val="{3112EC66-8963-4D3C-B822-B74F056E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6060"/>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9"/>
    <w:qFormat/>
    <w:rsid w:val="00C56060"/>
    <w:pPr>
      <w:spacing w:before="229"/>
      <w:ind w:left="67" w:right="61"/>
      <w:jc w:val="center"/>
      <w:outlineLvl w:val="0"/>
    </w:pPr>
    <w:rPr>
      <w:b/>
      <w:bCs/>
      <w:sz w:val="28"/>
      <w:szCs w:val="28"/>
    </w:rPr>
  </w:style>
  <w:style w:type="paragraph" w:styleId="Heading2">
    <w:name w:val="heading 2"/>
    <w:basedOn w:val="Normal"/>
    <w:link w:val="Heading2Char"/>
    <w:uiPriority w:val="9"/>
    <w:unhideWhenUsed/>
    <w:qFormat/>
    <w:rsid w:val="00C56060"/>
    <w:pPr>
      <w:spacing w:before="246"/>
      <w:ind w:left="144" w:right="136" w:firstLine="396"/>
      <w:jc w:val="both"/>
      <w:outlineLvl w:val="1"/>
    </w:pPr>
    <w:rPr>
      <w:b/>
      <w:bCs/>
      <w:sz w:val="24"/>
      <w:szCs w:val="24"/>
    </w:rPr>
  </w:style>
  <w:style w:type="paragraph" w:styleId="Heading3">
    <w:name w:val="heading 3"/>
    <w:basedOn w:val="Normal"/>
    <w:link w:val="Heading3Char"/>
    <w:uiPriority w:val="9"/>
    <w:unhideWhenUsed/>
    <w:qFormat/>
    <w:rsid w:val="00C56060"/>
    <w:pPr>
      <w:spacing w:before="82"/>
      <w:ind w:left="540"/>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060"/>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9"/>
    <w:rsid w:val="00C56060"/>
    <w:rPr>
      <w:rFonts w:ascii="Times New Roman" w:eastAsia="Times New Roman" w:hAnsi="Times New Roman" w:cs="Times New Roman"/>
      <w:b/>
      <w:bCs/>
      <w:sz w:val="24"/>
      <w:szCs w:val="24"/>
      <w:lang w:val="vi"/>
    </w:rPr>
  </w:style>
  <w:style w:type="character" w:customStyle="1" w:styleId="Heading3Char">
    <w:name w:val="Heading 3 Char"/>
    <w:basedOn w:val="DefaultParagraphFont"/>
    <w:link w:val="Heading3"/>
    <w:uiPriority w:val="9"/>
    <w:rsid w:val="00C56060"/>
    <w:rPr>
      <w:rFonts w:ascii="Times New Roman" w:eastAsia="Times New Roman" w:hAnsi="Times New Roman" w:cs="Times New Roman"/>
      <w:b/>
      <w:bCs/>
      <w:i/>
      <w:iCs/>
      <w:sz w:val="24"/>
      <w:szCs w:val="24"/>
      <w:lang w:val="vi"/>
    </w:rPr>
  </w:style>
  <w:style w:type="paragraph" w:styleId="TOC1">
    <w:name w:val="toc 1"/>
    <w:basedOn w:val="Normal"/>
    <w:uiPriority w:val="1"/>
    <w:qFormat/>
    <w:rsid w:val="00C56060"/>
    <w:pPr>
      <w:spacing w:before="612"/>
      <w:ind w:right="3"/>
      <w:jc w:val="center"/>
    </w:pPr>
    <w:rPr>
      <w:b/>
      <w:bCs/>
      <w:sz w:val="20"/>
      <w:szCs w:val="20"/>
    </w:rPr>
  </w:style>
  <w:style w:type="paragraph" w:styleId="TOC2">
    <w:name w:val="toc 2"/>
    <w:basedOn w:val="Normal"/>
    <w:uiPriority w:val="1"/>
    <w:qFormat/>
    <w:rsid w:val="00C56060"/>
    <w:pPr>
      <w:spacing w:before="87"/>
      <w:ind w:left="67" w:right="66"/>
      <w:jc w:val="center"/>
    </w:pPr>
    <w:rPr>
      <w:sz w:val="20"/>
      <w:szCs w:val="20"/>
    </w:rPr>
  </w:style>
  <w:style w:type="paragraph" w:styleId="TOC3">
    <w:name w:val="toc 3"/>
    <w:basedOn w:val="Normal"/>
    <w:uiPriority w:val="1"/>
    <w:qFormat/>
    <w:rsid w:val="00C56060"/>
    <w:pPr>
      <w:spacing w:before="243"/>
      <w:ind w:left="67" w:right="61"/>
      <w:jc w:val="center"/>
    </w:pPr>
    <w:rPr>
      <w:i/>
      <w:iCs/>
      <w:sz w:val="20"/>
      <w:szCs w:val="20"/>
    </w:rPr>
  </w:style>
  <w:style w:type="paragraph" w:styleId="TOC4">
    <w:name w:val="toc 4"/>
    <w:basedOn w:val="Normal"/>
    <w:uiPriority w:val="1"/>
    <w:qFormat/>
    <w:rsid w:val="00C56060"/>
    <w:pPr>
      <w:spacing w:before="82"/>
      <w:ind w:left="144"/>
    </w:pPr>
    <w:rPr>
      <w:sz w:val="20"/>
      <w:szCs w:val="20"/>
    </w:rPr>
  </w:style>
  <w:style w:type="paragraph" w:styleId="TOC5">
    <w:name w:val="toc 5"/>
    <w:basedOn w:val="Normal"/>
    <w:uiPriority w:val="1"/>
    <w:qFormat/>
    <w:rsid w:val="00C56060"/>
    <w:pPr>
      <w:spacing w:before="65"/>
      <w:ind w:left="1195" w:right="1190"/>
      <w:jc w:val="center"/>
    </w:pPr>
    <w:rPr>
      <w:sz w:val="20"/>
      <w:szCs w:val="20"/>
    </w:rPr>
  </w:style>
  <w:style w:type="paragraph" w:styleId="BodyText">
    <w:name w:val="Body Text"/>
    <w:basedOn w:val="Normal"/>
    <w:link w:val="BodyTextChar"/>
    <w:uiPriority w:val="1"/>
    <w:qFormat/>
    <w:rsid w:val="00C56060"/>
    <w:pPr>
      <w:spacing w:before="78"/>
      <w:ind w:left="144" w:right="135" w:firstLine="396"/>
      <w:jc w:val="both"/>
    </w:pPr>
    <w:rPr>
      <w:sz w:val="24"/>
      <w:szCs w:val="24"/>
    </w:rPr>
  </w:style>
  <w:style w:type="character" w:customStyle="1" w:styleId="BodyTextChar">
    <w:name w:val="Body Text Char"/>
    <w:basedOn w:val="DefaultParagraphFont"/>
    <w:link w:val="BodyText"/>
    <w:uiPriority w:val="1"/>
    <w:rsid w:val="00C56060"/>
    <w:rPr>
      <w:rFonts w:ascii="Times New Roman" w:eastAsia="Times New Roman" w:hAnsi="Times New Roman" w:cs="Times New Roman"/>
      <w:sz w:val="24"/>
      <w:szCs w:val="24"/>
      <w:lang w:val="vi"/>
    </w:rPr>
  </w:style>
  <w:style w:type="paragraph" w:styleId="Title">
    <w:name w:val="Title"/>
    <w:basedOn w:val="Normal"/>
    <w:link w:val="TitleChar"/>
    <w:uiPriority w:val="10"/>
    <w:qFormat/>
    <w:rsid w:val="00C56060"/>
    <w:pPr>
      <w:spacing w:before="163"/>
      <w:ind w:left="90" w:right="147"/>
      <w:jc w:val="center"/>
    </w:pPr>
    <w:rPr>
      <w:rFonts w:ascii="Tahoma" w:eastAsia="Tahoma" w:hAnsi="Tahoma" w:cs="Tahoma"/>
      <w:sz w:val="68"/>
      <w:szCs w:val="68"/>
    </w:rPr>
  </w:style>
  <w:style w:type="character" w:customStyle="1" w:styleId="TitleChar">
    <w:name w:val="Title Char"/>
    <w:basedOn w:val="DefaultParagraphFont"/>
    <w:link w:val="Title"/>
    <w:uiPriority w:val="10"/>
    <w:rsid w:val="00C56060"/>
    <w:rPr>
      <w:rFonts w:ascii="Tahoma" w:eastAsia="Tahoma" w:hAnsi="Tahoma" w:cs="Tahoma"/>
      <w:sz w:val="68"/>
      <w:szCs w:val="68"/>
      <w:lang w:val="vi"/>
    </w:rPr>
  </w:style>
  <w:style w:type="paragraph" w:styleId="ListParagraph">
    <w:name w:val="List Paragraph"/>
    <w:basedOn w:val="Normal"/>
    <w:uiPriority w:val="1"/>
    <w:qFormat/>
    <w:rsid w:val="00C56060"/>
    <w:pPr>
      <w:spacing w:before="80"/>
      <w:ind w:left="144" w:right="137" w:firstLine="396"/>
      <w:jc w:val="both"/>
    </w:pPr>
  </w:style>
  <w:style w:type="paragraph" w:customStyle="1" w:styleId="TableParagraph">
    <w:name w:val="Table Paragraph"/>
    <w:basedOn w:val="Normal"/>
    <w:uiPriority w:val="1"/>
    <w:qFormat/>
    <w:rsid w:val="00C56060"/>
    <w:pPr>
      <w:ind w:left="9"/>
    </w:pPr>
    <w:rPr>
      <w:rFonts w:ascii="Microsoft Sans Serif" w:eastAsia="Microsoft Sans Serif" w:hAnsi="Microsoft Sans Serif" w:cs="Microsoft Sans Serif"/>
    </w:rPr>
  </w:style>
  <w:style w:type="paragraph" w:styleId="Header">
    <w:name w:val="header"/>
    <w:basedOn w:val="Normal"/>
    <w:link w:val="HeaderChar"/>
    <w:uiPriority w:val="99"/>
    <w:unhideWhenUsed/>
    <w:rsid w:val="003B4917"/>
    <w:pPr>
      <w:tabs>
        <w:tab w:val="center" w:pos="4680"/>
        <w:tab w:val="right" w:pos="9360"/>
      </w:tabs>
    </w:pPr>
  </w:style>
  <w:style w:type="character" w:customStyle="1" w:styleId="HeaderChar">
    <w:name w:val="Header Char"/>
    <w:basedOn w:val="DefaultParagraphFont"/>
    <w:link w:val="Header"/>
    <w:uiPriority w:val="99"/>
    <w:rsid w:val="003B4917"/>
    <w:rPr>
      <w:rFonts w:ascii="Times New Roman" w:eastAsia="Times New Roman" w:hAnsi="Times New Roman" w:cs="Times New Roman"/>
      <w:lang w:val="vi"/>
    </w:rPr>
  </w:style>
  <w:style w:type="paragraph" w:styleId="Footer">
    <w:name w:val="footer"/>
    <w:basedOn w:val="Normal"/>
    <w:link w:val="FooterChar"/>
    <w:uiPriority w:val="99"/>
    <w:unhideWhenUsed/>
    <w:rsid w:val="003B4917"/>
    <w:pPr>
      <w:tabs>
        <w:tab w:val="center" w:pos="4680"/>
        <w:tab w:val="right" w:pos="9360"/>
      </w:tabs>
    </w:pPr>
  </w:style>
  <w:style w:type="character" w:customStyle="1" w:styleId="FooterChar">
    <w:name w:val="Footer Char"/>
    <w:basedOn w:val="DefaultParagraphFont"/>
    <w:link w:val="Footer"/>
    <w:uiPriority w:val="99"/>
    <w:rsid w:val="003B4917"/>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6090E9-0A09-4DF3-8A80-E43BB0463853}">
  <ds:schemaRefs>
    <ds:schemaRef ds:uri="http://schemas.openxmlformats.org/officeDocument/2006/bibliography"/>
  </ds:schemaRefs>
</ds:datastoreItem>
</file>

<file path=customXml/itemProps2.xml><?xml version="1.0" encoding="utf-8"?>
<ds:datastoreItem xmlns:ds="http://schemas.openxmlformats.org/officeDocument/2006/customXml" ds:itemID="{54479D32-78C2-426A-8A9F-CE90A9017E3C}"/>
</file>

<file path=customXml/itemProps3.xml><?xml version="1.0" encoding="utf-8"?>
<ds:datastoreItem xmlns:ds="http://schemas.openxmlformats.org/officeDocument/2006/customXml" ds:itemID="{55D66A32-F61F-4F8E-A001-7017FD0DE605}"/>
</file>

<file path=customXml/itemProps4.xml><?xml version="1.0" encoding="utf-8"?>
<ds:datastoreItem xmlns:ds="http://schemas.openxmlformats.org/officeDocument/2006/customXml" ds:itemID="{26BA93A7-59EF-4876-ABBC-A1EA910E762F}"/>
</file>

<file path=docProps/app.xml><?xml version="1.0" encoding="utf-8"?>
<Properties xmlns="http://schemas.openxmlformats.org/officeDocument/2006/extended-properties" xmlns:vt="http://schemas.openxmlformats.org/officeDocument/2006/docPropsVTypes">
  <Template>Normal</Template>
  <TotalTime>36</TotalTime>
  <Pages>4</Pages>
  <Words>1209</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2026-03-09T09:00:00Z</dcterms:created>
  <dcterms:modified xsi:type="dcterms:W3CDTF">2026-03-09T09:43:00Z</dcterms:modified>
</cp:coreProperties>
</file>